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 xml:space="preserve">3GPP TSG-RAN WG4 Meeting # </w:t>
      </w:r>
      <w:r>
        <w:rPr>
          <w:rFonts w:ascii="Arial" w:hAnsi="Arial" w:cs="Arial"/>
          <w:b/>
        </w:rPr>
        <w:t>10</w:t>
      </w:r>
      <w:r>
        <w:rPr>
          <w:rFonts w:hint="eastAsia" w:ascii="Arial" w:hAnsi="Arial" w:cs="Arial"/>
          <w:b/>
          <w:lang w:val="en-US" w:eastAsia="zh-CN"/>
        </w:rPr>
        <w:t>9</w:t>
      </w:r>
      <w:r>
        <w:rPr>
          <w:rFonts w:ascii="Arial" w:hAnsi="Arial" w:cs="Arial"/>
          <w:b/>
          <w:bCs/>
        </w:rPr>
        <w:t xml:space="preserve">  </w:t>
      </w:r>
      <w:r>
        <w:rPr>
          <w:rFonts w:ascii="Arial" w:hAnsi="Arial" w:cs="Arial"/>
          <w:b/>
          <w:bCs/>
        </w:rPr>
        <w:tab/>
      </w:r>
      <w:bookmarkStart w:id="0" w:name="_Hlk41145946"/>
      <w:r>
        <w:rPr>
          <w:rFonts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hint="eastAsia" w:ascii="Arial" w:hAnsi="Arial" w:cs="Arial"/>
          <w:b/>
          <w:bCs/>
        </w:rPr>
        <w:tab/>
      </w:r>
      <w:r>
        <w:rPr>
          <w:rFonts w:ascii="Arial" w:hAnsi="Arial" w:cs="Arial"/>
          <w:b/>
          <w:bCs/>
        </w:rPr>
        <w:t>R4-2</w:t>
      </w:r>
      <w:bookmarkEnd w:id="0"/>
      <w:r>
        <w:rPr>
          <w:rFonts w:hint="eastAsia" w:ascii="Arial" w:hAnsi="Arial" w:cs="Arial"/>
          <w:b/>
          <w:bCs/>
        </w:rPr>
        <w:t>3</w:t>
      </w:r>
      <w:r>
        <w:rPr>
          <w:rFonts w:hint="eastAsia" w:ascii="Arial" w:hAnsi="Arial" w:cs="Arial"/>
          <w:b/>
          <w:bCs/>
          <w:lang w:val="en-US" w:eastAsia="zh-CN"/>
        </w:rPr>
        <w:t>18901</w:t>
      </w:r>
      <w:bookmarkStart w:id="12" w:name="_GoBack"/>
      <w:bookmarkEnd w:id="12"/>
    </w:p>
    <w:p>
      <w:pPr>
        <w:tabs>
          <w:tab w:val="left" w:pos="3106"/>
          <w:tab w:val="center" w:pos="4536"/>
          <w:tab w:val="right" w:pos="9072"/>
        </w:tabs>
        <w:jc w:val="both"/>
        <w:rPr>
          <w:rFonts w:ascii="Arial" w:hAnsi="Arial" w:cs="Arial"/>
          <w:b/>
          <w:bCs/>
        </w:rPr>
      </w:pPr>
      <w:r>
        <w:rPr>
          <w:rFonts w:hint="eastAsia" w:ascii="Arial" w:hAnsi="Arial" w:cs="Arial"/>
          <w:b/>
          <w:bCs/>
        </w:rPr>
        <w:t xml:space="preserve">Chicago, US, November 13 </w:t>
      </w:r>
      <w:r>
        <w:rPr>
          <w:rFonts w:hint="eastAsia" w:ascii="Arial" w:hAnsi="Arial" w:cs="Arial"/>
          <w:b/>
          <w:bCs/>
          <w:lang w:val="en-US" w:eastAsia="zh-CN"/>
        </w:rPr>
        <w:t xml:space="preserve">- </w:t>
      </w:r>
      <w:r>
        <w:rPr>
          <w:rFonts w:hint="eastAsia" w:ascii="Arial" w:hAnsi="Arial" w:cs="Arial"/>
          <w:b/>
          <w:bCs/>
        </w:rPr>
        <w:t>17, 2023</w:t>
      </w:r>
    </w:p>
    <w:p>
      <w:pPr>
        <w:tabs>
          <w:tab w:val="left" w:pos="1985"/>
        </w:tabs>
        <w:rPr>
          <w:b/>
          <w:sz w:val="22"/>
        </w:rPr>
      </w:pPr>
    </w:p>
    <w:p>
      <w:pPr>
        <w:tabs>
          <w:tab w:val="left" w:pos="1765"/>
          <w:tab w:val="center" w:pos="4557"/>
        </w:tabs>
        <w:rPr>
          <w:b/>
          <w:sz w:val="22"/>
        </w:rPr>
      </w:pPr>
      <w:r>
        <w:rPr>
          <w:b/>
          <w:sz w:val="22"/>
        </w:rPr>
        <w:t>Agenda Item:</w:t>
      </w:r>
      <w:r>
        <w:rPr>
          <w:b/>
          <w:sz w:val="22"/>
        </w:rPr>
        <w:tab/>
      </w:r>
      <w:r>
        <w:rPr>
          <w:rFonts w:hint="eastAsia"/>
          <w:sz w:val="22"/>
          <w:lang w:val="en-US" w:eastAsia="zh-CN"/>
        </w:rPr>
        <w:t>8</w:t>
      </w:r>
      <w:r>
        <w:rPr>
          <w:sz w:val="22"/>
        </w:rPr>
        <w:t>.1</w:t>
      </w:r>
      <w:r>
        <w:rPr>
          <w:rFonts w:hint="eastAsia"/>
          <w:sz w:val="22"/>
        </w:rPr>
        <w:t>3</w:t>
      </w:r>
      <w:r>
        <w:rPr>
          <w:sz w:val="22"/>
        </w:rPr>
        <w:t>.</w:t>
      </w:r>
      <w:r>
        <w:rPr>
          <w:rFonts w:hint="eastAsia"/>
          <w:sz w:val="22"/>
          <w:lang w:val="en-US" w:eastAsia="zh-CN"/>
        </w:rPr>
        <w:t>6</w:t>
      </w:r>
      <w:r>
        <w:rPr>
          <w:sz w:val="22"/>
        </w:rPr>
        <w:t>.1</w:t>
      </w:r>
    </w:p>
    <w:p>
      <w:pPr>
        <w:tabs>
          <w:tab w:val="left" w:pos="1765"/>
        </w:tabs>
        <w:rPr>
          <w:sz w:val="22"/>
        </w:rPr>
      </w:pPr>
      <w:r>
        <w:rPr>
          <w:b/>
          <w:sz w:val="22"/>
        </w:rPr>
        <w:t xml:space="preserve">Source: </w:t>
      </w:r>
      <w:r>
        <w:rPr>
          <w:b/>
          <w:sz w:val="22"/>
        </w:rPr>
        <w:tab/>
      </w:r>
      <w:bookmarkStart w:id="1" w:name="_Hlk41145958"/>
      <w:r>
        <w:rPr>
          <w:sz w:val="22"/>
        </w:rPr>
        <w:t>CMCC</w:t>
      </w:r>
      <w:bookmarkEnd w:id="1"/>
    </w:p>
    <w:p>
      <w:pPr>
        <w:rPr>
          <w:sz w:val="22"/>
        </w:rPr>
      </w:pPr>
      <w:r>
        <w:rPr>
          <w:b/>
          <w:sz w:val="22"/>
        </w:rPr>
        <w:t xml:space="preserve">Title: </w:t>
      </w:r>
      <w:r>
        <w:rPr>
          <w:b/>
          <w:sz w:val="22"/>
        </w:rPr>
        <w:tab/>
      </w:r>
      <w:r>
        <w:rPr>
          <w:b/>
          <w:sz w:val="22"/>
        </w:rPr>
        <w:tab/>
      </w:r>
      <w:r>
        <w:rPr>
          <w:b/>
          <w:sz w:val="22"/>
        </w:rPr>
        <w:tab/>
      </w:r>
      <w:bookmarkStart w:id="2" w:name="_Hlk41145953"/>
      <w:bookmarkStart w:id="3" w:name="OLE_LINK8"/>
      <w:bookmarkStart w:id="4" w:name="OLE_LINK7"/>
      <w:r>
        <w:rPr>
          <w:sz w:val="22"/>
        </w:rPr>
        <w:t xml:space="preserve"> </w:t>
      </w:r>
      <w:bookmarkEnd w:id="2"/>
      <w:r>
        <w:rPr>
          <w:rFonts w:hint="eastAsia"/>
          <w:sz w:val="22"/>
        </w:rPr>
        <w:t>Discussion</w:t>
      </w:r>
      <w:r>
        <w:rPr>
          <w:rFonts w:hint="eastAsia"/>
          <w:sz w:val="22"/>
          <w:lang w:val="en-US" w:eastAsia="zh-CN"/>
        </w:rPr>
        <w:t xml:space="preserve"> and the draft LS</w:t>
      </w:r>
      <w:r>
        <w:rPr>
          <w:rFonts w:hint="eastAsia"/>
          <w:sz w:val="22"/>
        </w:rPr>
        <w:t> on</w:t>
      </w:r>
      <w:r>
        <w:rPr>
          <w:rFonts w:hint="eastAsia"/>
          <w:sz w:val="22"/>
          <w:lang w:val="en-US" w:eastAsia="zh-CN"/>
        </w:rPr>
        <w:t xml:space="preserve"> </w:t>
      </w:r>
      <w:r>
        <w:rPr>
          <w:rFonts w:hint="eastAsia"/>
          <w:sz w:val="22"/>
        </w:rPr>
        <w:t>UE feature</w:t>
      </w:r>
      <w:r>
        <w:rPr>
          <w:rFonts w:hint="eastAsia"/>
          <w:sz w:val="22"/>
          <w:lang w:val="en-US" w:eastAsia="zh-CN"/>
        </w:rPr>
        <w:t>s</w:t>
      </w:r>
      <w:r>
        <w:rPr>
          <w:rFonts w:hint="eastAsia"/>
          <w:sz w:val="22"/>
        </w:rPr>
        <w:t xml:space="preserve"> for NR ATG</w:t>
      </w:r>
    </w:p>
    <w:bookmarkEnd w:id="3"/>
    <w:bookmarkEnd w:id="4"/>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tabs>
          <w:tab w:val="left" w:pos="1134"/>
        </w:tabs>
        <w:spacing w:after="120" w:line="240" w:lineRule="exact"/>
        <w:jc w:val="both"/>
        <w:rPr>
          <w:sz w:val="20"/>
          <w:szCs w:val="20"/>
        </w:rPr>
      </w:pPr>
      <w:r>
        <w:rPr>
          <w:rFonts w:hint="eastAsia"/>
          <w:sz w:val="20"/>
          <w:szCs w:val="20"/>
        </w:rPr>
        <w:t>A r</w:t>
      </w:r>
      <w:r>
        <w:rPr>
          <w:sz w:val="20"/>
          <w:szCs w:val="20"/>
        </w:rPr>
        <w:t xml:space="preserve">eply LS for </w:t>
      </w:r>
      <w:r>
        <w:rPr>
          <w:rFonts w:hint="eastAsia"/>
          <w:sz w:val="20"/>
          <w:szCs w:val="20"/>
        </w:rPr>
        <w:t>UE feature</w:t>
      </w:r>
      <w:r>
        <w:rPr>
          <w:sz w:val="20"/>
          <w:szCs w:val="20"/>
        </w:rPr>
        <w:t xml:space="preserve"> was sent by RAN</w:t>
      </w:r>
      <w:r>
        <w:rPr>
          <w:rFonts w:hint="eastAsia"/>
          <w:sz w:val="20"/>
          <w:szCs w:val="20"/>
        </w:rPr>
        <w:t>1</w:t>
      </w:r>
      <w:r>
        <w:rPr>
          <w:sz w:val="20"/>
          <w:szCs w:val="20"/>
        </w:rPr>
        <w:t xml:space="preserve"> [</w:t>
      </w:r>
      <w:r>
        <w:rPr>
          <w:rFonts w:hint="eastAsia"/>
          <w:sz w:val="20"/>
          <w:szCs w:val="20"/>
        </w:rPr>
        <w:t>1</w:t>
      </w:r>
      <w:r>
        <w:rPr>
          <w:sz w:val="20"/>
          <w:szCs w:val="20"/>
        </w:rPr>
        <w:t>], we copy the content for information:</w:t>
      </w:r>
    </w:p>
    <w:tbl>
      <w:tblPr>
        <w:tblStyle w:val="20"/>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960" w:type="dxa"/>
          </w:tcPr>
          <w:p>
            <w:pPr>
              <w:pStyle w:val="74"/>
              <w:numPr>
                <w:ilvl w:val="0"/>
                <w:numId w:val="4"/>
              </w:numPr>
              <w:adjustRightInd w:val="0"/>
              <w:snapToGrid w:val="0"/>
              <w:spacing w:before="156" w:beforeLines="50" w:after="156" w:afterLines="50"/>
              <w:ind w:left="357" w:hanging="357" w:firstLineChars="0"/>
              <w:outlineLvl w:val="0"/>
              <w:rPr>
                <w:rFonts w:eastAsia="等线"/>
                <w:b/>
              </w:rPr>
            </w:pPr>
            <w:r>
              <w:rPr>
                <w:rFonts w:eastAsia="等线"/>
                <w:b/>
              </w:rPr>
              <w:t>Overall Description:</w:t>
            </w:r>
          </w:p>
          <w:p>
            <w:pPr>
              <w:adjustRightInd w:val="0"/>
              <w:snapToGrid w:val="0"/>
              <w:spacing w:before="156" w:beforeLines="50"/>
              <w:jc w:val="both"/>
              <w:rPr>
                <w:rFonts w:eastAsia="等线"/>
                <w:sz w:val="20"/>
              </w:rPr>
            </w:pPr>
            <w:r>
              <w:rPr>
                <w:rFonts w:eastAsia="等线"/>
                <w:sz w:val="20"/>
              </w:rPr>
              <w:t xml:space="preserve">RAN1 would like to thank RAN4 for the LS(R4-2309797) on UE features used for ATG deployment scenario. </w:t>
            </w:r>
          </w:p>
          <w:p>
            <w:pPr>
              <w:adjustRightInd w:val="0"/>
              <w:snapToGrid w:val="0"/>
              <w:spacing w:before="156" w:beforeLines="50"/>
              <w:jc w:val="both"/>
              <w:rPr>
                <w:rFonts w:eastAsia="等线"/>
                <w:sz w:val="20"/>
              </w:rPr>
            </w:pPr>
            <w:r>
              <w:rPr>
                <w:rFonts w:eastAsia="等线"/>
                <w:sz w:val="20"/>
              </w:rPr>
              <w:t xml:space="preserve">Regarding whether the </w:t>
            </w:r>
            <w:bookmarkStart w:id="5" w:name="_Hlk142402017"/>
            <w:r>
              <w:rPr>
                <w:rFonts w:eastAsia="等线"/>
                <w:sz w:val="20"/>
              </w:rPr>
              <w:t>UE features ‘Increasing the number of HARQ processes’ and ‘K1 range extension’ can be used for Rel-18 NR ATG</w:t>
            </w:r>
            <w:bookmarkEnd w:id="5"/>
            <w:r>
              <w:rPr>
                <w:rFonts w:eastAsia="等线"/>
                <w:sz w:val="20"/>
              </w:rPr>
              <w:t xml:space="preserve">, RAN1 has the discussion and provides the following information. </w:t>
            </w:r>
          </w:p>
          <w:p>
            <w:pPr>
              <w:pStyle w:val="74"/>
              <w:adjustRightInd w:val="0"/>
              <w:snapToGrid w:val="0"/>
              <w:spacing w:before="156" w:beforeLines="50"/>
              <w:ind w:firstLine="0" w:firstLineChars="0"/>
              <w:jc w:val="both"/>
              <w:rPr>
                <w:rFonts w:cs="Times New Roman" w:eastAsiaTheme="minorEastAsia"/>
                <w:sz w:val="20"/>
                <w:szCs w:val="20"/>
                <w:lang w:val="en-GB"/>
              </w:rPr>
            </w:pPr>
            <w:r>
              <w:rPr>
                <w:rFonts w:eastAsia="MS Mincho" w:cs="Times New Roman"/>
                <w:b/>
                <w:bCs/>
                <w:sz w:val="20"/>
                <w:szCs w:val="20"/>
              </w:rPr>
              <w:t>From RAN1’s perspective, the functionality corresponding to UE features 26-5 ‘Increasing the number of HARQ processes’ and 26-10 ‘K1 range extension’ can be used for Rel-18 NR ATG.</w:t>
            </w:r>
          </w:p>
          <w:p>
            <w:pPr>
              <w:pStyle w:val="74"/>
              <w:adjustRightInd w:val="0"/>
              <w:snapToGrid w:val="0"/>
              <w:spacing w:before="156" w:beforeLines="50"/>
              <w:ind w:firstLine="0" w:firstLineChars="0"/>
              <w:jc w:val="both"/>
              <w:rPr>
                <w:rFonts w:eastAsia="MS Mincho" w:cs="Times New Roman"/>
                <w:b/>
                <w:bCs/>
                <w:sz w:val="20"/>
                <w:szCs w:val="20"/>
              </w:rPr>
            </w:pPr>
            <w:r>
              <w:rPr>
                <w:rFonts w:eastAsia="MS Mincho" w:cs="Times New Roman"/>
                <w:b/>
                <w:bCs/>
                <w:sz w:val="20"/>
                <w:szCs w:val="20"/>
              </w:rPr>
              <w:t xml:space="preserve">New ATG UE features of ‘Increasing the number of HARQ processes’ and ‘K1 range extension’ should be introduced in Rel-18. RAN1 asks RAN4 to take the corresponding information into consideration. </w:t>
            </w:r>
          </w:p>
          <w:p>
            <w:pPr>
              <w:adjustRightInd w:val="0"/>
              <w:snapToGrid w:val="0"/>
              <w:spacing w:before="156" w:beforeLines="50"/>
              <w:rPr>
                <w:b/>
                <w:bCs/>
                <w:sz w:val="20"/>
                <w:szCs w:val="20"/>
                <w:highlight w:val="yellow"/>
              </w:rPr>
            </w:pPr>
            <w:r>
              <w:rPr>
                <w:b/>
                <w:bCs/>
                <w:sz w:val="20"/>
                <w:szCs w:val="20"/>
                <w:highlight w:val="yellow"/>
              </w:rPr>
              <w:t xml:space="preserve">Besides that, RAN1 has not discussed other UE features from Rel-17/18 NTN, e.g. Koffset (FG26-1), TA reporting (FG 26-4) and UE-specific koffset (26-9), which can be considered in the future discussions of new ATG UE features. </w:t>
            </w:r>
          </w:p>
          <w:p>
            <w:pPr>
              <w:pBdr>
                <w:top w:val="single" w:color="auto" w:sz="4" w:space="1"/>
              </w:pBdr>
              <w:adjustRightInd w:val="0"/>
              <w:snapToGrid w:val="0"/>
              <w:spacing w:before="156" w:beforeLines="50" w:after="156" w:afterLines="50"/>
              <w:jc w:val="both"/>
              <w:outlineLvl w:val="0"/>
              <w:rPr>
                <w:rFonts w:eastAsia="等线"/>
                <w:b/>
              </w:rPr>
            </w:pPr>
            <w:r>
              <w:rPr>
                <w:rFonts w:eastAsia="等线"/>
                <w:b/>
              </w:rPr>
              <w:t>2. Actions:</w:t>
            </w:r>
          </w:p>
          <w:p>
            <w:pPr>
              <w:adjustRightInd w:val="0"/>
              <w:snapToGrid w:val="0"/>
              <w:spacing w:before="50" w:after="50"/>
              <w:ind w:left="1985" w:hanging="1985"/>
              <w:jc w:val="both"/>
              <w:rPr>
                <w:rFonts w:eastAsia="等线"/>
                <w:b/>
                <w:color w:val="000000"/>
                <w:sz w:val="20"/>
              </w:rPr>
            </w:pPr>
            <w:r>
              <w:rPr>
                <w:rFonts w:eastAsia="等线"/>
                <w:b/>
                <w:color w:val="000000"/>
                <w:sz w:val="20"/>
              </w:rPr>
              <w:t>To RAN4</w:t>
            </w:r>
          </w:p>
          <w:p>
            <w:pPr>
              <w:adjustRightInd w:val="0"/>
              <w:snapToGrid w:val="0"/>
              <w:spacing w:before="50" w:after="50"/>
              <w:ind w:left="993" w:hanging="993"/>
              <w:jc w:val="both"/>
              <w:rPr>
                <w:rFonts w:ascii="Arial" w:hAnsi="Arial" w:cs="Arial"/>
                <w:color w:val="000000"/>
                <w:sz w:val="20"/>
                <w:szCs w:val="20"/>
              </w:rPr>
            </w:pPr>
            <w:r>
              <w:rPr>
                <w:rFonts w:eastAsia="等线"/>
                <w:b/>
                <w:color w:val="000000"/>
                <w:sz w:val="20"/>
              </w:rPr>
              <w:t xml:space="preserve">ACTION: </w:t>
            </w:r>
            <w:r>
              <w:rPr>
                <w:rFonts w:eastAsia="等线"/>
                <w:b/>
                <w:color w:val="000000"/>
                <w:sz w:val="20"/>
              </w:rPr>
              <w:tab/>
            </w:r>
            <w:r>
              <w:rPr>
                <w:rFonts w:eastAsia="等线"/>
                <w:sz w:val="20"/>
              </w:rPr>
              <w:t>RAN1 respectfully asks RAN4 to take the above response into account in the future work.</w:t>
            </w:r>
            <w:r>
              <w:rPr>
                <w:rFonts w:eastAsia="等线"/>
                <w:color w:val="000000"/>
                <w:sz w:val="20"/>
              </w:rPr>
              <w:t xml:space="preserve"> </w:t>
            </w:r>
          </w:p>
        </w:tc>
      </w:tr>
    </w:tbl>
    <w:p>
      <w:pPr>
        <w:tabs>
          <w:tab w:val="left" w:pos="1134"/>
        </w:tabs>
        <w:spacing w:before="60" w:after="120" w:line="240" w:lineRule="exact"/>
        <w:jc w:val="both"/>
        <w:rPr>
          <w:rFonts w:hint="default" w:eastAsiaTheme="minorEastAsia"/>
          <w:sz w:val="20"/>
          <w:szCs w:val="20"/>
          <w:lang w:val="en-US" w:eastAsia="zh-CN"/>
        </w:rPr>
      </w:pPr>
      <w:r>
        <w:rPr>
          <w:rFonts w:hint="eastAsia"/>
          <w:sz w:val="20"/>
          <w:szCs w:val="20"/>
        </w:rPr>
        <w:t>In this reply LS, RAN1 mentioned that there are other UE features whose functionality should be also considered in the discussions of new ATG UE features. Therefore, we give an overall discussion about ATG UE features in this contribution</w:t>
      </w:r>
      <w:r>
        <w:rPr>
          <w:rFonts w:hint="eastAsia"/>
          <w:sz w:val="20"/>
          <w:szCs w:val="20"/>
          <w:lang w:val="en-US" w:eastAsia="zh-CN"/>
        </w:rPr>
        <w:t>, and prepare a draft LS to RAN1 and RAN2, which contains the UE features of Layer-1, Layer-2 and Layer-3.</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hint="eastAsia" w:ascii="Times New Roman" w:hAnsi="Times New Roman"/>
          <w:b w:val="0"/>
          <w:bCs w:val="0"/>
          <w:kern w:val="0"/>
          <w:sz w:val="36"/>
          <w:szCs w:val="36"/>
        </w:rPr>
        <w:t>ATG UE feature</w:t>
      </w:r>
    </w:p>
    <w:p>
      <w:pPr>
        <w:tabs>
          <w:tab w:val="left" w:pos="1134"/>
        </w:tabs>
        <w:spacing w:before="60" w:after="120" w:line="240" w:lineRule="exact"/>
        <w:jc w:val="both"/>
        <w:rPr>
          <w:rFonts w:hint="default"/>
          <w:sz w:val="20"/>
          <w:szCs w:val="20"/>
          <w:lang w:val="en-US" w:eastAsia="zh-CN"/>
        </w:rPr>
      </w:pPr>
      <w:r>
        <w:rPr>
          <w:rFonts w:hint="eastAsia"/>
          <w:sz w:val="20"/>
          <w:szCs w:val="20"/>
          <w:lang w:val="en-US" w:eastAsia="zh-CN"/>
        </w:rPr>
        <w:t>In the reply LS, RAN1 mentioned that other UE features from R17/18 NTN should be taken into considered in the future discussion of new ATG features. Hence, we review all R17 NTN features and give our perspective about which feature should be introduced in ATG. The related NTN features are attached in the Annex.</w:t>
      </w:r>
    </w:p>
    <w:p>
      <w:pPr>
        <w:autoSpaceDN w:val="0"/>
        <w:spacing w:before="60"/>
        <w:jc w:val="both"/>
        <w:rPr>
          <w:rFonts w:eastAsia="宋体"/>
          <w:b/>
          <w:bCs/>
          <w:sz w:val="20"/>
          <w:szCs w:val="20"/>
          <w:u w:val="single"/>
        </w:rPr>
      </w:pPr>
      <w:r>
        <w:rPr>
          <w:rFonts w:hint="eastAsia" w:eastAsia="宋体"/>
          <w:b/>
          <w:bCs/>
          <w:sz w:val="20"/>
          <w:szCs w:val="20"/>
          <w:u w:val="single"/>
        </w:rPr>
        <w:t xml:space="preserve">L1 ATG UE feature 1: </w:t>
      </w:r>
      <w:r>
        <w:rPr>
          <w:rFonts w:eastAsia="宋体"/>
          <w:b/>
          <w:bCs/>
          <w:sz w:val="20"/>
          <w:szCs w:val="20"/>
          <w:u w:val="single"/>
        </w:rPr>
        <w:t>Uplink Time and Frequency pre-compensation and timing relationship enhancements</w:t>
      </w:r>
    </w:p>
    <w:p>
      <w:pPr>
        <w:autoSpaceDN w:val="0"/>
        <w:spacing w:before="60"/>
        <w:jc w:val="both"/>
        <w:rPr>
          <w:rFonts w:eastAsia="宋体"/>
          <w:sz w:val="20"/>
          <w:szCs w:val="20"/>
        </w:rPr>
      </w:pPr>
      <w:r>
        <w:rPr>
          <w:rFonts w:hint="eastAsia" w:eastAsia="宋体"/>
          <w:sz w:val="20"/>
          <w:szCs w:val="20"/>
        </w:rPr>
        <w:t>As we known, uplink time and frequency pre-compensation and timing relationship enhancements were agreed to introduced to ATG UE, therefore, we propose to introduce the related UE feature</w:t>
      </w:r>
      <w:r>
        <w:rPr>
          <w:rFonts w:hint="eastAsia" w:eastAsia="宋体"/>
          <w:sz w:val="20"/>
          <w:szCs w:val="20"/>
          <w:lang w:val="en-US" w:eastAsia="zh-CN"/>
        </w:rPr>
        <w:t xml:space="preserve"> as NTN</w:t>
      </w:r>
      <w:r>
        <w:rPr>
          <w:rFonts w:hint="eastAsia" w:eastAsia="宋体"/>
          <w:sz w:val="20"/>
          <w:szCs w:val="20"/>
        </w:rPr>
        <w:t xml:space="preserve">, </w:t>
      </w:r>
      <w:r>
        <w:rPr>
          <w:rFonts w:hint="eastAsia" w:eastAsia="宋体"/>
          <w:sz w:val="20"/>
          <w:szCs w:val="20"/>
          <w:lang w:val="en-US" w:eastAsia="zh-CN"/>
        </w:rPr>
        <w:t>but</w:t>
      </w:r>
      <w:r>
        <w:rPr>
          <w:rFonts w:hint="eastAsia" w:eastAsia="宋体"/>
          <w:sz w:val="20"/>
          <w:szCs w:val="20"/>
        </w:rPr>
        <w:t xml:space="preserve"> the detailed components should be updated.</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1</w:t>
      </w:r>
      <w:r>
        <w:rPr>
          <w:rFonts w:eastAsia="等线"/>
          <w:b/>
          <w:bCs/>
          <w:i/>
          <w:iCs/>
          <w:sz w:val="20"/>
          <w:szCs w:val="20"/>
        </w:rPr>
        <w:t xml:space="preserve">: </w:t>
      </w:r>
      <w:r>
        <w:rPr>
          <w:rFonts w:hint="eastAsia" w:eastAsia="等线"/>
          <w:b/>
          <w:bCs/>
          <w:i/>
          <w:iCs/>
          <w:sz w:val="20"/>
          <w:szCs w:val="20"/>
        </w:rPr>
        <w:t>Introduce the ATG UE feature of uplink time and frequency pre-compensation and timing relationship enhancements as follows:</w:t>
      </w:r>
    </w:p>
    <w:tbl>
      <w:tblPr>
        <w:tblStyle w:val="19"/>
        <w:tblW w:w="13927"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3620"/>
        <w:gridCol w:w="1006"/>
        <w:gridCol w:w="1040"/>
        <w:gridCol w:w="927"/>
        <w:gridCol w:w="1113"/>
        <w:gridCol w:w="1087"/>
        <w:gridCol w:w="2267"/>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Pr>
          <w:p>
            <w:pPr>
              <w:keepNext/>
              <w:keepLines/>
              <w:widowControl w:val="0"/>
              <w:jc w:val="center"/>
              <w:rPr>
                <w:rFonts w:eastAsia="宋体"/>
                <w:b/>
                <w:i/>
                <w:iCs/>
                <w:kern w:val="2"/>
                <w:sz w:val="18"/>
                <w:szCs w:val="18"/>
              </w:rPr>
            </w:pPr>
            <w:r>
              <w:rPr>
                <w:rFonts w:eastAsia="宋体"/>
                <w:b/>
                <w:i/>
                <w:iCs/>
                <w:kern w:val="2"/>
                <w:sz w:val="18"/>
                <w:szCs w:val="18"/>
              </w:rPr>
              <w:t>Feature group</w:t>
            </w:r>
          </w:p>
        </w:tc>
        <w:tc>
          <w:tcPr>
            <w:tcW w:w="3620" w:type="dxa"/>
          </w:tcPr>
          <w:p>
            <w:pPr>
              <w:keepNext/>
              <w:keepLines/>
              <w:widowControl w:val="0"/>
              <w:jc w:val="center"/>
              <w:rPr>
                <w:rFonts w:eastAsia="宋体"/>
                <w:b/>
                <w:i/>
                <w:iCs/>
                <w:kern w:val="2"/>
                <w:sz w:val="18"/>
                <w:szCs w:val="18"/>
              </w:rPr>
            </w:pPr>
            <w:r>
              <w:rPr>
                <w:rFonts w:eastAsia="宋体"/>
                <w:b/>
                <w:i/>
                <w:iCs/>
                <w:kern w:val="2"/>
                <w:sz w:val="18"/>
                <w:szCs w:val="18"/>
              </w:rPr>
              <w:t>Components</w:t>
            </w:r>
          </w:p>
        </w:tc>
        <w:tc>
          <w:tcPr>
            <w:tcW w:w="1006" w:type="dxa"/>
          </w:tcPr>
          <w:p>
            <w:pPr>
              <w:keepNext/>
              <w:keepLines/>
              <w:widowControl w:val="0"/>
              <w:jc w:val="center"/>
              <w:rPr>
                <w:rFonts w:eastAsia="宋体"/>
                <w:b/>
                <w:i/>
                <w:iCs/>
                <w:kern w:val="2"/>
                <w:sz w:val="18"/>
                <w:szCs w:val="18"/>
              </w:rPr>
            </w:pPr>
            <w:r>
              <w:rPr>
                <w:rFonts w:eastAsia="宋体"/>
                <w:b/>
                <w:i/>
                <w:iCs/>
                <w:kern w:val="2"/>
                <w:sz w:val="18"/>
                <w:szCs w:val="18"/>
              </w:rPr>
              <w:t>Prerequisite feature groups</w:t>
            </w:r>
          </w:p>
        </w:tc>
        <w:tc>
          <w:tcPr>
            <w:tcW w:w="1040" w:type="dxa"/>
          </w:tcPr>
          <w:p>
            <w:pPr>
              <w:keepNext/>
              <w:keepLines/>
              <w:widowControl w:val="0"/>
              <w:jc w:val="center"/>
              <w:rPr>
                <w:rFonts w:eastAsia="宋体"/>
                <w:b/>
                <w:i/>
                <w:iCs/>
                <w:kern w:val="2"/>
                <w:sz w:val="18"/>
                <w:szCs w:val="18"/>
              </w:rPr>
            </w:pPr>
            <w:r>
              <w:rPr>
                <w:rFonts w:eastAsia="宋体"/>
                <w:b/>
                <w:i/>
                <w:iCs/>
                <w:kern w:val="2"/>
                <w:sz w:val="18"/>
                <w:szCs w:val="18"/>
              </w:rPr>
              <w:t>Field name in TS 38.331 [2]</w:t>
            </w:r>
          </w:p>
        </w:tc>
        <w:tc>
          <w:tcPr>
            <w:tcW w:w="927" w:type="dxa"/>
          </w:tcPr>
          <w:p>
            <w:pPr>
              <w:keepNext/>
              <w:keepLines/>
              <w:widowControl w:val="0"/>
              <w:jc w:val="center"/>
              <w:rPr>
                <w:rFonts w:eastAsia="宋体"/>
                <w:b/>
                <w:i/>
                <w:iCs/>
                <w:kern w:val="2"/>
                <w:sz w:val="18"/>
                <w:szCs w:val="18"/>
              </w:rPr>
            </w:pPr>
            <w:r>
              <w:rPr>
                <w:rFonts w:eastAsia="宋体"/>
                <w:b/>
                <w:i/>
                <w:iCs/>
                <w:kern w:val="2"/>
                <w:sz w:val="18"/>
                <w:szCs w:val="18"/>
              </w:rPr>
              <w:t>Parent IE in TS 38.331 [2]</w:t>
            </w:r>
          </w:p>
        </w:tc>
        <w:tc>
          <w:tcPr>
            <w:tcW w:w="1113" w:type="dxa"/>
          </w:tcPr>
          <w:p>
            <w:pPr>
              <w:keepNext/>
              <w:keepLines/>
              <w:widowControl w:val="0"/>
              <w:jc w:val="center"/>
              <w:rPr>
                <w:rFonts w:eastAsia="宋体"/>
                <w:b/>
                <w:i/>
                <w:iCs/>
                <w:kern w:val="2"/>
                <w:sz w:val="18"/>
                <w:szCs w:val="18"/>
              </w:rPr>
            </w:pPr>
            <w:r>
              <w:rPr>
                <w:rFonts w:eastAsia="宋体"/>
                <w:b/>
                <w:i/>
                <w:iCs/>
                <w:kern w:val="2"/>
                <w:sz w:val="18"/>
                <w:szCs w:val="18"/>
              </w:rPr>
              <w:t>Need of FDD/TDD differentiation</w:t>
            </w:r>
          </w:p>
        </w:tc>
        <w:tc>
          <w:tcPr>
            <w:tcW w:w="1087" w:type="dxa"/>
          </w:tcPr>
          <w:p>
            <w:pPr>
              <w:keepNext/>
              <w:keepLines/>
              <w:widowControl w:val="0"/>
              <w:jc w:val="center"/>
              <w:rPr>
                <w:rFonts w:eastAsia="宋体"/>
                <w:b/>
                <w:i/>
                <w:iCs/>
                <w:kern w:val="2"/>
                <w:sz w:val="18"/>
                <w:szCs w:val="18"/>
              </w:rPr>
            </w:pPr>
            <w:r>
              <w:rPr>
                <w:rFonts w:eastAsia="宋体"/>
                <w:b/>
                <w:i/>
                <w:iCs/>
                <w:kern w:val="2"/>
                <w:sz w:val="18"/>
                <w:szCs w:val="18"/>
              </w:rPr>
              <w:t>Need of FR1/FR2 differentiation</w:t>
            </w:r>
          </w:p>
        </w:tc>
        <w:tc>
          <w:tcPr>
            <w:tcW w:w="2267" w:type="dxa"/>
          </w:tcPr>
          <w:p>
            <w:pPr>
              <w:keepNext/>
              <w:keepLines/>
              <w:widowControl w:val="0"/>
              <w:jc w:val="center"/>
              <w:rPr>
                <w:rFonts w:eastAsia="宋体"/>
                <w:b/>
                <w:i/>
                <w:iCs/>
                <w:kern w:val="2"/>
                <w:sz w:val="18"/>
                <w:szCs w:val="18"/>
              </w:rPr>
            </w:pPr>
            <w:r>
              <w:rPr>
                <w:rFonts w:eastAsia="宋体"/>
                <w:b/>
                <w:i/>
                <w:iCs/>
                <w:kern w:val="2"/>
                <w:sz w:val="18"/>
                <w:szCs w:val="18"/>
              </w:rPr>
              <w:t>Note</w:t>
            </w:r>
          </w:p>
        </w:tc>
        <w:tc>
          <w:tcPr>
            <w:tcW w:w="1440" w:type="dxa"/>
          </w:tcPr>
          <w:p>
            <w:pPr>
              <w:keepNext/>
              <w:keepLines/>
              <w:widowControl w:val="0"/>
              <w:jc w:val="center"/>
              <w:rPr>
                <w:rFonts w:eastAsia="宋体"/>
                <w:b/>
                <w:i/>
                <w:iCs/>
                <w:kern w:val="2"/>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Uplink Time and Frequency pre-compensation and timing relationship enhancements</w:t>
            </w:r>
          </w:p>
        </w:tc>
        <w:tc>
          <w:tcPr>
            <w:tcW w:w="362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Support of UE specific TA calculation based on its GNSS-acquired position and the  indicated BS location.</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For TA update in RRC_CONNECTED state, support of combination of both open (i.e. UE autonomous TA estimation) and closed (i.e., received TA commands) control loops</w:t>
            </w:r>
            <w:r>
              <w:rPr>
                <w:rFonts w:hint="eastAsia" w:eastAsia="宋体"/>
                <w:b/>
                <w:i/>
                <w:iCs/>
                <w:kern w:val="2"/>
                <w:sz w:val="18"/>
                <w:szCs w:val="18"/>
                <w:lang w:val="en-US" w:eastAsia="zh-CN"/>
              </w:rPr>
              <w:t>.</w:t>
            </w:r>
          </w:p>
          <w:p>
            <w:pPr>
              <w:keepNext/>
              <w:keepLines/>
              <w:widowControl w:val="0"/>
              <w:jc w:val="both"/>
              <w:rPr>
                <w:rFonts w:eastAsia="宋体"/>
                <w:b/>
                <w:i/>
                <w:iCs/>
                <w:kern w:val="2"/>
                <w:sz w:val="18"/>
                <w:szCs w:val="18"/>
              </w:rPr>
            </w:pPr>
            <w:r>
              <w:rPr>
                <w:rFonts w:eastAsia="宋体"/>
                <w:b/>
                <w:i/>
                <w:iCs/>
                <w:kern w:val="2"/>
                <w:sz w:val="18"/>
                <w:szCs w:val="18"/>
              </w:rPr>
              <w:t>Support of pre-compensation of the calculated TA in its uplink transmissions</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frequency pre-compensation to counter shift the Doppler experienced on the service link</w:t>
            </w:r>
            <w:r>
              <w:rPr>
                <w:rFonts w:hint="eastAsia" w:eastAsia="宋体"/>
                <w:b/>
                <w:i/>
                <w:iCs/>
                <w:kern w:val="2"/>
                <w:sz w:val="18"/>
                <w:szCs w:val="18"/>
                <w:lang w:val="en-US" w:eastAsia="zh-CN"/>
              </w:rPr>
              <w:t>.</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r>
              <w:rPr>
                <w:rFonts w:hint="eastAsia" w:eastAsia="宋体"/>
                <w:b/>
                <w:i/>
                <w:iCs/>
                <w:kern w:val="2"/>
                <w:sz w:val="18"/>
                <w:szCs w:val="18"/>
                <w:lang w:val="en-US" w:eastAsia="zh-CN"/>
              </w:rPr>
              <w:t>.</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UE receiving cell-specific K_offset in system information</w:t>
            </w:r>
            <w:r>
              <w:rPr>
                <w:rFonts w:hint="eastAsia" w:eastAsia="宋体"/>
                <w:b/>
                <w:i/>
                <w:iCs/>
                <w:kern w:val="2"/>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TBD</w:t>
            </w:r>
          </w:p>
        </w:tc>
        <w:tc>
          <w:tcPr>
            <w:tcW w:w="9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lang w:eastAsia="en-GB"/>
              </w:rPr>
              <w:t>BandNR</w:t>
            </w:r>
          </w:p>
        </w:tc>
        <w:tc>
          <w:tcPr>
            <w:tcW w:w="11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108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226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An ATG UE is required to at least support UE specific TA and frequency calculation based at least on its GNSS-acquired position and the indicated BS location</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Note: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Optional with capability signalling</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For UE supports NR communication via ATG, UE must indicate this FG is supported.</w:t>
            </w:r>
          </w:p>
          <w:p>
            <w:pPr>
              <w:keepNext/>
              <w:keepLines/>
              <w:widowControl w:val="0"/>
              <w:jc w:val="both"/>
              <w:rPr>
                <w:rFonts w:eastAsia="宋体"/>
                <w:b/>
                <w:i/>
                <w:iCs/>
                <w:kern w:val="2"/>
                <w:sz w:val="18"/>
                <w:szCs w:val="18"/>
              </w:rPr>
            </w:pPr>
          </w:p>
        </w:tc>
      </w:tr>
    </w:tbl>
    <w:p>
      <w:pPr>
        <w:tabs>
          <w:tab w:val="left" w:pos="1134"/>
        </w:tabs>
        <w:spacing w:before="60"/>
        <w:jc w:val="both"/>
        <w:rPr>
          <w:rFonts w:eastAsia="等线"/>
          <w:b/>
          <w:bCs/>
          <w:i/>
          <w:iCs/>
          <w:sz w:val="20"/>
          <w:szCs w:val="20"/>
        </w:rPr>
      </w:pPr>
    </w:p>
    <w:p>
      <w:pPr>
        <w:tabs>
          <w:tab w:val="left" w:pos="1134"/>
        </w:tabs>
        <w:spacing w:before="60"/>
        <w:jc w:val="both"/>
        <w:rPr>
          <w:rFonts w:eastAsia="宋体"/>
          <w:b/>
          <w:bCs/>
          <w:sz w:val="20"/>
          <w:szCs w:val="20"/>
          <w:u w:val="single"/>
        </w:rPr>
      </w:pPr>
      <w:r>
        <w:rPr>
          <w:rFonts w:hint="eastAsia" w:eastAsia="宋体"/>
          <w:b/>
          <w:bCs/>
          <w:sz w:val="20"/>
          <w:szCs w:val="20"/>
          <w:u w:val="single"/>
        </w:rPr>
        <w:t>L1 ATG UE feature 2</w:t>
      </w:r>
      <w:r>
        <w:rPr>
          <w:rFonts w:hint="eastAsia" w:eastAsia="宋体"/>
          <w:b/>
          <w:bCs/>
          <w:sz w:val="20"/>
          <w:szCs w:val="20"/>
          <w:u w:val="single"/>
          <w:lang w:val="en-US" w:eastAsia="zh-CN"/>
        </w:rPr>
        <w:t>&amp;</w:t>
      </w:r>
      <w:r>
        <w:rPr>
          <w:rFonts w:hint="eastAsia" w:eastAsia="宋体"/>
          <w:b/>
          <w:bCs/>
          <w:sz w:val="20"/>
          <w:szCs w:val="20"/>
          <w:u w:val="single"/>
        </w:rPr>
        <w:t>3: UE reporting of information related to TA pre-compensation</w:t>
      </w:r>
      <w:r>
        <w:rPr>
          <w:rFonts w:hint="eastAsia" w:eastAsia="宋体"/>
          <w:b/>
          <w:bCs/>
          <w:sz w:val="20"/>
          <w:szCs w:val="20"/>
          <w:u w:val="single"/>
          <w:lang w:val="en-US" w:eastAsia="zh-CN"/>
        </w:rPr>
        <w:t>&amp;</w:t>
      </w:r>
      <w:r>
        <w:rPr>
          <w:rFonts w:hint="eastAsia" w:eastAsia="宋体"/>
          <w:b/>
          <w:bCs/>
          <w:sz w:val="20"/>
          <w:szCs w:val="20"/>
          <w:u w:val="single"/>
        </w:rPr>
        <w:t>UE-specific K</w:t>
      </w:r>
      <w:r>
        <w:rPr>
          <w:rFonts w:hint="eastAsia" w:eastAsia="宋体"/>
          <w:b/>
          <w:bCs/>
          <w:sz w:val="20"/>
          <w:szCs w:val="20"/>
          <w:u w:val="single"/>
          <w:vertAlign w:val="subscript"/>
        </w:rPr>
        <w:t xml:space="preserve">offset </w:t>
      </w:r>
    </w:p>
    <w:p>
      <w:pPr>
        <w:autoSpaceDN w:val="0"/>
        <w:spacing w:before="60"/>
        <w:jc w:val="both"/>
        <w:rPr>
          <w:rFonts w:eastAsia="宋体"/>
          <w:sz w:val="20"/>
          <w:szCs w:val="20"/>
        </w:rPr>
      </w:pPr>
      <w:r>
        <w:rPr>
          <w:rFonts w:hint="eastAsia" w:eastAsia="宋体"/>
          <w:sz w:val="20"/>
          <w:szCs w:val="20"/>
        </w:rPr>
        <w:t>TA report was introduced to address GP issue in last meeting, therefore, the related UE feature should be introduced. Besides, since TAR can be supported in ATG, we think the UE-specific k</w:t>
      </w:r>
      <w:r>
        <w:rPr>
          <w:rFonts w:hint="eastAsia" w:eastAsia="宋体"/>
          <w:sz w:val="20"/>
          <w:szCs w:val="20"/>
          <w:vertAlign w:val="subscript"/>
        </w:rPr>
        <w:t>offset</w:t>
      </w:r>
      <w:r>
        <w:rPr>
          <w:rFonts w:hint="eastAsia" w:eastAsia="宋体"/>
          <w:sz w:val="20"/>
          <w:szCs w:val="20"/>
        </w:rPr>
        <w:t xml:space="preserve"> functionality could also be supported by both network and UE, which could help to optimize the timing relationship. </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2</w:t>
      </w:r>
      <w:r>
        <w:rPr>
          <w:rFonts w:eastAsia="等线"/>
          <w:b/>
          <w:bCs/>
          <w:i/>
          <w:iCs/>
          <w:sz w:val="20"/>
          <w:szCs w:val="20"/>
        </w:rPr>
        <w:t xml:space="preserve">: </w:t>
      </w:r>
      <w:r>
        <w:rPr>
          <w:rFonts w:hint="eastAsia" w:eastAsia="等线"/>
          <w:b/>
          <w:bCs/>
          <w:i/>
          <w:iCs/>
          <w:sz w:val="20"/>
          <w:szCs w:val="20"/>
        </w:rPr>
        <w:t>Introduce the ATG UE feature of UE reporting of TA information and UE-specific K_offset as follows:</w:t>
      </w:r>
    </w:p>
    <w:tbl>
      <w:tblPr>
        <w:tblStyle w:val="19"/>
        <w:tblW w:w="1394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40"/>
        <w:gridCol w:w="1040"/>
        <w:gridCol w:w="933"/>
        <w:gridCol w:w="1127"/>
        <w:gridCol w:w="1066"/>
        <w:gridCol w:w="2260"/>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highlight w:val="green"/>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Components</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Prerequisite feature groups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Parent IE in TS 38.331 [2]</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FDD/TDD differentiation</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FR1/FR2 differentiation</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Note</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UE reporting of </w:t>
            </w:r>
            <w:r>
              <w:rPr>
                <w:rFonts w:hint="eastAsia" w:eastAsia="宋体"/>
                <w:b/>
                <w:i/>
                <w:iCs/>
                <w:kern w:val="2"/>
                <w:sz w:val="18"/>
              </w:rPr>
              <w:t xml:space="preserve">TA </w:t>
            </w:r>
            <w:r>
              <w:rPr>
                <w:rFonts w:eastAsia="宋体"/>
                <w:b/>
                <w:i/>
                <w:iCs/>
                <w:kern w:val="2"/>
                <w:sz w:val="18"/>
              </w:rPr>
              <w:t xml:space="preserve">information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Support UE reporting of </w:t>
            </w:r>
            <w:r>
              <w:rPr>
                <w:rFonts w:hint="eastAsia" w:eastAsia="宋体"/>
                <w:b/>
                <w:i/>
                <w:iCs/>
                <w:kern w:val="2"/>
                <w:sz w:val="18"/>
              </w:rPr>
              <w:t xml:space="preserve">TA </w:t>
            </w:r>
            <w:r>
              <w:rPr>
                <w:rFonts w:eastAsia="宋体"/>
                <w:b/>
                <w:i/>
                <w:iCs/>
                <w:kern w:val="2"/>
                <w:sz w:val="18"/>
              </w:rPr>
              <w:t>information</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hint="eastAsia" w:eastAsia="宋体"/>
                <w:b/>
                <w:i/>
                <w:iCs/>
                <w:kern w:val="2"/>
                <w:sz w:val="18"/>
              </w:rPr>
              <w:t>TBD</w:t>
            </w:r>
          </w:p>
          <w:p>
            <w:pPr>
              <w:keepNext/>
              <w:keepLines/>
              <w:widowControl w:val="0"/>
              <w:jc w:val="both"/>
              <w:rPr>
                <w:rFonts w:eastAsia="宋体"/>
                <w:b/>
                <w:i/>
                <w:iCs/>
                <w:kern w:val="2"/>
                <w:sz w:val="18"/>
              </w:rPr>
            </w:pPr>
            <w:r>
              <w:rPr>
                <w:rFonts w:hint="eastAsia" w:eastAsia="宋体"/>
                <w:b/>
                <w:i/>
                <w:iCs/>
                <w:kern w:val="2"/>
                <w:sz w:val="18"/>
              </w:rPr>
              <w:t>[Uplink Time and Frequency pre-compensation and timing relationship enhancements]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hint="eastAsia" w:eastAsia="宋体"/>
                <w:b/>
                <w:i/>
                <w:iCs/>
                <w:kern w:val="2"/>
                <w:sz w:val="18"/>
                <w:szCs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Note</w:t>
            </w:r>
            <w:r>
              <w:rPr>
                <w:rFonts w:hint="eastAsia" w:eastAsia="宋体"/>
                <w:b/>
                <w:i/>
                <w:iCs/>
                <w:kern w:val="2"/>
                <w:sz w:val="18"/>
                <w:lang w:val="en-US" w:eastAsia="zh-CN"/>
              </w:rPr>
              <w:t xml:space="preserve"> 1</w:t>
            </w:r>
            <w:r>
              <w:rPr>
                <w:rFonts w:eastAsia="宋体"/>
                <w:b/>
                <w:i/>
                <w:iCs/>
                <w:kern w:val="2"/>
                <w:sz w:val="18"/>
              </w:rPr>
              <w:t>: The exact content of UE reporting of information about the TA pre-compensation is up to RAN2</w:t>
            </w:r>
          </w:p>
          <w:p>
            <w:pPr>
              <w:keepNext/>
              <w:keepLines/>
              <w:widowControl w:val="0"/>
              <w:jc w:val="both"/>
              <w:rPr>
                <w:rFonts w:eastAsia="宋体"/>
                <w:b/>
                <w:i/>
                <w:iCs/>
                <w:kern w:val="2"/>
                <w:sz w:val="18"/>
              </w:rPr>
            </w:pPr>
          </w:p>
          <w:p>
            <w:pPr>
              <w:keepNext/>
              <w:keepLines/>
              <w:widowControl w:val="0"/>
              <w:jc w:val="both"/>
              <w:rPr>
                <w:rFonts w:eastAsia="宋体"/>
                <w:b/>
                <w:i/>
                <w:iCs/>
                <w:kern w:val="2"/>
                <w:sz w:val="18"/>
              </w:rPr>
            </w:pPr>
            <w:r>
              <w:rPr>
                <w:rFonts w:eastAsia="宋体"/>
                <w:b/>
                <w:i/>
                <w:iCs/>
                <w:kern w:val="2"/>
                <w:sz w:val="18"/>
              </w:rPr>
              <w:t>Note</w:t>
            </w:r>
            <w:r>
              <w:rPr>
                <w:rFonts w:hint="eastAsia" w:eastAsia="宋体"/>
                <w:b/>
                <w:i/>
                <w:iCs/>
                <w:kern w:val="2"/>
                <w:sz w:val="18"/>
                <w:lang w:val="en-US" w:eastAsia="zh-CN"/>
              </w:rPr>
              <w:t xml:space="preserve"> 2</w:t>
            </w:r>
            <w:r>
              <w:rPr>
                <w:rFonts w:eastAsia="宋体"/>
                <w:b/>
                <w:i/>
                <w:iCs/>
                <w:kern w:val="2"/>
                <w:sz w:val="18"/>
              </w:rPr>
              <w:t>: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Optional</w:t>
            </w:r>
            <w:r>
              <w:rPr>
                <w:rFonts w:hint="eastAsia" w:eastAsia="宋体"/>
                <w:b/>
                <w:i/>
                <w:iCs/>
                <w:kern w:val="2"/>
                <w:sz w:val="18"/>
              </w:rPr>
              <w:t xml:space="preserve"> </w:t>
            </w:r>
            <w:r>
              <w:rPr>
                <w:rFonts w:eastAsia="宋体"/>
                <w:b/>
                <w:i/>
                <w:iCs/>
                <w:kern w:val="2"/>
                <w:sz w:val="18"/>
              </w:rPr>
              <w:t xml:space="preserve">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UE-specific K_offset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pStyle w:val="28"/>
              <w:rPr>
                <w:rFonts w:hint="default"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reception of UE-specific K_offset via MAC-CE</w:t>
            </w:r>
            <w:r>
              <w:rPr>
                <w:rFonts w:hint="eastAsia" w:ascii="Times New Roman" w:hAnsi="Times New Roman" w:eastAsia="宋体"/>
                <w:b/>
                <w:i/>
                <w:iCs/>
                <w:kern w:val="2"/>
                <w:szCs w:val="24"/>
                <w:lang w:val="en-US" w:eastAsia="zh-CN"/>
              </w:rPr>
              <w:t>.</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determining the timing of PUSCH, PUCCH, CSI reference resource, transmission of aperiodic SRS, activation of TA command, first PUSCH transmission in CG Type 2 with UE-specific Koffset</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w:t>
            </w:r>
            <w:r>
              <w:rPr>
                <w:rFonts w:ascii="Times New Roman" w:hAnsi="Times New Roman" w:eastAsia="宋体"/>
                <w:b/>
                <w:i/>
                <w:iCs/>
                <w:kern w:val="2"/>
                <w:szCs w:val="24"/>
                <w:lang w:val="en-US" w:eastAsia="zh-CN"/>
              </w:rPr>
              <w:t>Uplink Time and Frequency pre-compensation and timing relationship enhancements</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 xml:space="preserve">And </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UE reporting of </w:t>
            </w:r>
            <w:r>
              <w:rPr>
                <w:rFonts w:hint="eastAsia" w:ascii="Times New Roman" w:hAnsi="Times New Roman" w:eastAsia="宋体"/>
                <w:b/>
                <w:i/>
                <w:iCs/>
                <w:kern w:val="2"/>
                <w:szCs w:val="24"/>
                <w:lang w:val="en-US" w:eastAsia="zh-CN"/>
              </w:rPr>
              <w:t>TA information]</w:t>
            </w:r>
          </w:p>
        </w:tc>
        <w:tc>
          <w:tcPr>
            <w:tcW w:w="1040"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3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bl>
    <w:p>
      <w:pPr>
        <w:autoSpaceDN w:val="0"/>
        <w:spacing w:before="60"/>
        <w:jc w:val="both"/>
        <w:rPr>
          <w:rFonts w:eastAsia="宋体"/>
          <w:b/>
          <w:bCs/>
          <w:sz w:val="20"/>
          <w:szCs w:val="20"/>
          <w:u w:val="single"/>
        </w:rPr>
      </w:pPr>
    </w:p>
    <w:p>
      <w:pPr>
        <w:autoSpaceDN w:val="0"/>
        <w:spacing w:before="60"/>
        <w:jc w:val="both"/>
        <w:rPr>
          <w:rFonts w:eastAsia="宋体"/>
          <w:b/>
          <w:bCs/>
          <w:sz w:val="20"/>
          <w:szCs w:val="20"/>
          <w:u w:val="single"/>
        </w:rPr>
      </w:pPr>
      <w:r>
        <w:rPr>
          <w:rFonts w:hint="eastAsia" w:eastAsia="宋体"/>
          <w:b/>
          <w:bCs/>
          <w:sz w:val="20"/>
          <w:szCs w:val="20"/>
          <w:u w:val="single"/>
        </w:rPr>
        <w:t>L1 ATG UE feature 4</w:t>
      </w:r>
      <w:r>
        <w:rPr>
          <w:rFonts w:hint="eastAsia" w:eastAsia="宋体"/>
          <w:b/>
          <w:bCs/>
          <w:sz w:val="20"/>
          <w:szCs w:val="20"/>
          <w:u w:val="single"/>
          <w:lang w:val="en-US" w:eastAsia="zh-CN"/>
        </w:rPr>
        <w:t>&amp;</w:t>
      </w:r>
      <w:r>
        <w:rPr>
          <w:rFonts w:hint="eastAsia" w:eastAsia="宋体"/>
          <w:b/>
          <w:bCs/>
          <w:sz w:val="20"/>
          <w:szCs w:val="20"/>
          <w:u w:val="single"/>
        </w:rPr>
        <w:t>5: Increasing the number of HARQ processes</w:t>
      </w:r>
      <w:r>
        <w:rPr>
          <w:rFonts w:hint="eastAsia" w:eastAsia="宋体"/>
          <w:b/>
          <w:bCs/>
          <w:sz w:val="20"/>
          <w:szCs w:val="20"/>
          <w:u w:val="single"/>
          <w:lang w:val="en-US" w:eastAsia="zh-CN"/>
        </w:rPr>
        <w:t>&amp;</w:t>
      </w:r>
      <w:r>
        <w:rPr>
          <w:rFonts w:hint="eastAsia" w:eastAsia="宋体"/>
          <w:b/>
          <w:bCs/>
          <w:sz w:val="20"/>
          <w:szCs w:val="20"/>
          <w:u w:val="single"/>
        </w:rPr>
        <w:t>K1 range extension</w:t>
      </w:r>
    </w:p>
    <w:p>
      <w:pPr>
        <w:autoSpaceDN w:val="0"/>
        <w:spacing w:before="60"/>
        <w:jc w:val="both"/>
        <w:rPr>
          <w:rFonts w:eastAsia="宋体"/>
          <w:sz w:val="20"/>
          <w:szCs w:val="20"/>
        </w:rPr>
      </w:pPr>
      <w:r>
        <w:rPr>
          <w:rFonts w:hint="eastAsia" w:eastAsia="宋体"/>
          <w:sz w:val="20"/>
          <w:szCs w:val="20"/>
        </w:rPr>
        <w:t>As RAN1 reply LS stated, the functionality corresponding to UE features‘Increasing the number of HARQ processes’ and‘K1 range extension’ can be used for Rel-18 NR ATG. UE who support</w:t>
      </w:r>
      <w:r>
        <w:rPr>
          <w:rFonts w:hint="eastAsia" w:eastAsia="宋体"/>
          <w:sz w:val="20"/>
          <w:szCs w:val="20"/>
          <w:lang w:val="en-US" w:eastAsia="zh-CN"/>
        </w:rPr>
        <w:t>s</w:t>
      </w:r>
      <w:r>
        <w:rPr>
          <w:rFonts w:hint="eastAsia" w:eastAsia="宋体"/>
          <w:sz w:val="20"/>
          <w:szCs w:val="20"/>
        </w:rPr>
        <w:t xml:space="preserve"> both features could support HARQ feedback when network configure</w:t>
      </w:r>
      <w:r>
        <w:rPr>
          <w:rFonts w:hint="eastAsia" w:eastAsia="宋体"/>
          <w:sz w:val="20"/>
          <w:szCs w:val="20"/>
          <w:lang w:val="en-US" w:eastAsia="zh-CN"/>
        </w:rPr>
        <w:t>s</w:t>
      </w:r>
      <w:r>
        <w:rPr>
          <w:rFonts w:hint="eastAsia" w:eastAsia="宋体"/>
          <w:sz w:val="20"/>
          <w:szCs w:val="20"/>
        </w:rPr>
        <w:t xml:space="preserve"> some specific TDD patterns to address the GP issue in ATG deployment, e.g., 30D4S6U. Therefore, we propose to introduce the UE features.</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3</w:t>
      </w:r>
      <w:r>
        <w:rPr>
          <w:rFonts w:eastAsia="等线"/>
          <w:b/>
          <w:bCs/>
          <w:i/>
          <w:iCs/>
          <w:sz w:val="20"/>
          <w:szCs w:val="20"/>
        </w:rPr>
        <w:t xml:space="preserve">: </w:t>
      </w:r>
      <w:r>
        <w:rPr>
          <w:rFonts w:hint="eastAsia" w:eastAsia="等线"/>
          <w:b/>
          <w:bCs/>
          <w:i/>
          <w:iCs/>
          <w:sz w:val="20"/>
          <w:szCs w:val="20"/>
        </w:rPr>
        <w:t>Introduce the ATG UE feature</w:t>
      </w:r>
      <w:r>
        <w:rPr>
          <w:rFonts w:hint="eastAsia" w:eastAsia="等线"/>
          <w:b/>
          <w:bCs/>
          <w:i/>
          <w:iCs/>
          <w:sz w:val="20"/>
          <w:szCs w:val="20"/>
          <w:lang w:val="en-US" w:eastAsia="zh-CN"/>
        </w:rPr>
        <w:t>s</w:t>
      </w:r>
      <w:r>
        <w:rPr>
          <w:rFonts w:hint="eastAsia" w:eastAsia="等线"/>
          <w:b/>
          <w:bCs/>
          <w:i/>
          <w:iCs/>
          <w:sz w:val="20"/>
          <w:szCs w:val="20"/>
        </w:rPr>
        <w:t xml:space="preserve"> of Increasing the number of HARQ processes and K1 range extension as follows:</w:t>
      </w:r>
    </w:p>
    <w:tbl>
      <w:tblPr>
        <w:tblStyle w:val="19"/>
        <w:tblW w:w="13934"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0"/>
        <w:gridCol w:w="1747"/>
        <w:gridCol w:w="1053"/>
        <w:gridCol w:w="907"/>
        <w:gridCol w:w="1146"/>
        <w:gridCol w:w="1080"/>
        <w:gridCol w:w="224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highlight w:val="green"/>
              </w:rPr>
            </w:pPr>
            <w:r>
              <w:rPr>
                <w:rFonts w:eastAsia="宋体"/>
                <w:b/>
                <w:i/>
                <w:iCs/>
                <w:kern w:val="2"/>
                <w:sz w:val="18"/>
                <w:szCs w:val="18"/>
              </w:rPr>
              <w:t>Feature group</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Components</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Prerequisite feature groups</w:t>
            </w:r>
          </w:p>
        </w:tc>
        <w:tc>
          <w:tcPr>
            <w:tcW w:w="10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Parent IE in TS 38.331 [2]</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FR1/FR2 differentiation</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Note</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Increasing the number of HARQ processes</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The maximal supported HARQ process number is X for UL and Y for DL</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Candidate component values for (X,Y): {(16,32),(32,16),(32,32)}</w:t>
            </w:r>
          </w:p>
          <w:p>
            <w:pPr>
              <w:pStyle w:val="28"/>
              <w:rPr>
                <w:rFonts w:ascii="Times New Roman" w:hAnsi="Times New Roman" w:eastAsia="宋体"/>
                <w:b/>
                <w:i/>
                <w:iCs/>
                <w:kern w:val="2"/>
                <w:szCs w:val="24"/>
                <w:lang w:val="en-US" w:eastAsia="zh-CN"/>
              </w:rPr>
            </w:pP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K1 range extension</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extended K1 value range of (0..31) for unpaired spectrum</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Optional with capability signalling </w:t>
            </w:r>
          </w:p>
        </w:tc>
      </w:tr>
    </w:tbl>
    <w:p>
      <w:pPr>
        <w:tabs>
          <w:tab w:val="left" w:pos="1134"/>
        </w:tabs>
        <w:spacing w:before="60"/>
        <w:jc w:val="both"/>
        <w:rPr>
          <w:rFonts w:eastAsia="等线"/>
          <w:b/>
          <w:bCs/>
          <w:i/>
          <w:iCs/>
          <w:sz w:val="20"/>
          <w:szCs w:val="20"/>
        </w:rPr>
      </w:pPr>
    </w:p>
    <w:p>
      <w:pPr>
        <w:tabs>
          <w:tab w:val="left" w:pos="1134"/>
        </w:tabs>
        <w:spacing w:before="60"/>
        <w:jc w:val="both"/>
        <w:rPr>
          <w:rFonts w:eastAsia="宋体"/>
          <w:b/>
          <w:bCs/>
          <w:sz w:val="20"/>
          <w:szCs w:val="20"/>
          <w:u w:val="single"/>
        </w:rPr>
      </w:pPr>
      <w:r>
        <w:rPr>
          <w:rFonts w:hint="eastAsia" w:eastAsia="宋体"/>
          <w:b/>
          <w:bCs/>
          <w:sz w:val="20"/>
          <w:szCs w:val="20"/>
          <w:u w:val="single"/>
        </w:rPr>
        <w:t>L2/L3 ATG UE feature 1</w:t>
      </w:r>
      <w:r>
        <w:rPr>
          <w:rFonts w:hint="eastAsia" w:eastAsia="宋体"/>
          <w:b/>
          <w:bCs/>
          <w:sz w:val="20"/>
          <w:szCs w:val="20"/>
          <w:u w:val="single"/>
          <w:lang w:val="en-US" w:eastAsia="zh-CN"/>
        </w:rPr>
        <w:t>&amp;</w:t>
      </w:r>
      <w:r>
        <w:rPr>
          <w:rFonts w:hint="eastAsia" w:eastAsia="宋体"/>
          <w:b/>
          <w:bCs/>
          <w:sz w:val="20"/>
          <w:szCs w:val="20"/>
          <w:u w:val="single"/>
        </w:rPr>
        <w:t>2</w:t>
      </w:r>
      <w:r>
        <w:rPr>
          <w:rFonts w:hint="eastAsia" w:eastAsia="宋体"/>
          <w:b/>
          <w:bCs/>
          <w:sz w:val="20"/>
          <w:szCs w:val="20"/>
          <w:u w:val="single"/>
          <w:lang w:val="en-US" w:eastAsia="zh-CN"/>
        </w:rPr>
        <w:t>&amp;</w:t>
      </w:r>
      <w:r>
        <w:rPr>
          <w:rFonts w:hint="eastAsia" w:eastAsia="宋体"/>
          <w:b/>
          <w:bCs/>
          <w:sz w:val="20"/>
          <w:szCs w:val="20"/>
          <w:u w:val="single"/>
        </w:rPr>
        <w:t>3: Location based CHO</w:t>
      </w:r>
      <w:r>
        <w:rPr>
          <w:rFonts w:hint="eastAsia" w:eastAsia="宋体"/>
          <w:b/>
          <w:bCs/>
          <w:sz w:val="20"/>
          <w:szCs w:val="20"/>
          <w:u w:val="single"/>
          <w:lang w:val="en-US" w:eastAsia="zh-CN"/>
        </w:rPr>
        <w:t>&amp;</w:t>
      </w:r>
      <w:r>
        <w:rPr>
          <w:rFonts w:hint="eastAsia" w:eastAsia="宋体"/>
          <w:b/>
          <w:bCs/>
          <w:sz w:val="20"/>
          <w:szCs w:val="20"/>
          <w:u w:val="single"/>
          <w:lang w:eastAsia="en-GB"/>
        </w:rPr>
        <w:t>Event A4 based CHO</w:t>
      </w:r>
      <w:r>
        <w:rPr>
          <w:rFonts w:hint="eastAsia" w:eastAsia="宋体"/>
          <w:b/>
          <w:bCs/>
          <w:sz w:val="20"/>
          <w:szCs w:val="20"/>
          <w:u w:val="single"/>
          <w:lang w:val="en-US" w:eastAsia="zh-CN"/>
        </w:rPr>
        <w:t>&amp;</w:t>
      </w:r>
      <w:r>
        <w:rPr>
          <w:rFonts w:hint="eastAsia" w:eastAsia="宋体"/>
          <w:b/>
          <w:bCs/>
          <w:sz w:val="20"/>
          <w:szCs w:val="20"/>
          <w:u w:val="single"/>
          <w:lang w:eastAsia="en-GB"/>
        </w:rPr>
        <w:t>Location-based measurement report trigger</w:t>
      </w:r>
    </w:p>
    <w:p>
      <w:pPr>
        <w:autoSpaceDN w:val="0"/>
        <w:spacing w:before="60"/>
        <w:jc w:val="both"/>
        <w:rPr>
          <w:rFonts w:eastAsia="宋体"/>
          <w:sz w:val="20"/>
          <w:szCs w:val="20"/>
        </w:rPr>
      </w:pPr>
      <w:r>
        <w:rPr>
          <w:rFonts w:hint="eastAsia" w:eastAsia="宋体"/>
          <w:sz w:val="20"/>
          <w:szCs w:val="20"/>
        </w:rPr>
        <w:t>Location based CHO mechanism as R17 NR NTN has</w:t>
      </w:r>
      <w:r>
        <w:rPr>
          <w:rFonts w:hint="eastAsia" w:eastAsia="宋体"/>
          <w:sz w:val="20"/>
          <w:szCs w:val="20"/>
          <w:lang w:val="en-US" w:eastAsia="zh-CN"/>
        </w:rPr>
        <w:t xml:space="preserve"> been</w:t>
      </w:r>
      <w:r>
        <w:rPr>
          <w:rFonts w:hint="eastAsia" w:eastAsia="宋体"/>
          <w:sz w:val="20"/>
          <w:szCs w:val="20"/>
        </w:rPr>
        <w:t xml:space="preserve"> agreed for R18 ATG in </w:t>
      </w:r>
      <w:r>
        <w:rPr>
          <w:rFonts w:hint="eastAsia" w:eastAsia="宋体"/>
          <w:sz w:val="20"/>
          <w:szCs w:val="20"/>
          <w:lang w:val="en-US" w:eastAsia="zh-CN"/>
        </w:rPr>
        <w:t>RAN4#108</w:t>
      </w:r>
      <w:r>
        <w:rPr>
          <w:rFonts w:hint="eastAsia" w:eastAsia="宋体"/>
          <w:sz w:val="20"/>
          <w:szCs w:val="20"/>
        </w:rPr>
        <w:t xml:space="preserve"> meeting. Therefore, the related UE feature should be introduced as well.</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4</w:t>
      </w:r>
      <w:r>
        <w:rPr>
          <w:rFonts w:eastAsia="等线"/>
          <w:b/>
          <w:bCs/>
          <w:i/>
          <w:iCs/>
          <w:sz w:val="20"/>
          <w:szCs w:val="20"/>
        </w:rPr>
        <w:t xml:space="preserve">: </w:t>
      </w:r>
      <w:r>
        <w:rPr>
          <w:rFonts w:hint="eastAsia" w:eastAsia="等线"/>
          <w:b/>
          <w:bCs/>
          <w:i/>
          <w:iCs/>
          <w:sz w:val="20"/>
          <w:szCs w:val="20"/>
        </w:rPr>
        <w:t>Introduce the ATG UE feature of Location based CHO, Event A4 based CHO and Location-based measurement report trigger as follows:</w:t>
      </w:r>
    </w:p>
    <w:tbl>
      <w:tblPr>
        <w:tblStyle w:val="19"/>
        <w:tblW w:w="1392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33"/>
        <w:gridCol w:w="1060"/>
        <w:gridCol w:w="907"/>
        <w:gridCol w:w="1140"/>
        <w:gridCol w:w="1080"/>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GB"/>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Components</w:t>
            </w:r>
          </w:p>
        </w:tc>
        <w:tc>
          <w:tcPr>
            <w:tcW w:w="17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Prerequisite feature groups</w:t>
            </w:r>
          </w:p>
        </w:tc>
        <w:tc>
          <w:tcPr>
            <w:tcW w:w="106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Parent IE in TS 38.331 [2]</w:t>
            </w:r>
          </w:p>
        </w:tc>
        <w:tc>
          <w:tcPr>
            <w:tcW w:w="11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Location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Event A4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Event A4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Location-based measurement report trigger</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location-based triggered measurement reporting (i.e., event D1)</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p>
            <w:pPr>
              <w:keepNext/>
              <w:keepLines/>
              <w:rPr>
                <w:rFonts w:eastAsia="宋体"/>
                <w:b/>
                <w:i/>
                <w:iCs/>
                <w:kern w:val="2"/>
                <w:sz w:val="18"/>
              </w:rPr>
            </w:pPr>
            <w:r>
              <w:rPr>
                <w:rFonts w:hint="eastAsia" w:eastAsia="宋体"/>
                <w:b/>
                <w:i/>
                <w:iCs/>
                <w:kern w:val="2"/>
                <w:sz w:val="18"/>
              </w:rPr>
              <w:t>[</w:t>
            </w:r>
            <w:r>
              <w:rPr>
                <w:rFonts w:eastAsia="宋体"/>
                <w:b/>
                <w:i/>
                <w:iCs/>
                <w:kern w:val="2"/>
                <w:sz w:val="18"/>
                <w:lang w:eastAsia="en-GB"/>
              </w:rPr>
              <w:t>Location based CHO</w:t>
            </w:r>
            <w:r>
              <w:rPr>
                <w:rFonts w:hint="eastAsia" w:eastAsia="宋体"/>
                <w:b/>
                <w:i/>
                <w:iCs/>
                <w:kern w:val="2"/>
                <w:sz w:val="18"/>
              </w:rPr>
              <w:t>]</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MeasAndMobParametersCommon</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bl>
    <w:p>
      <w:pPr>
        <w:tabs>
          <w:tab w:val="left" w:pos="1134"/>
        </w:tabs>
        <w:spacing w:before="60"/>
        <w:jc w:val="both"/>
        <w:rPr>
          <w:rFonts w:eastAsia="等线"/>
          <w:b/>
          <w:bCs/>
          <w:i/>
          <w:iCs/>
          <w:sz w:val="20"/>
          <w:szCs w:val="20"/>
        </w:rPr>
      </w:pPr>
    </w:p>
    <w:p>
      <w:pPr>
        <w:tabs>
          <w:tab w:val="left" w:pos="1134"/>
        </w:tabs>
        <w:spacing w:before="60"/>
        <w:jc w:val="both"/>
        <w:rPr>
          <w:rFonts w:eastAsia="等线"/>
          <w:b/>
          <w:bCs/>
          <w:i/>
          <w:iCs/>
          <w:sz w:val="20"/>
          <w:szCs w:val="20"/>
        </w:rPr>
      </w:pPr>
      <w:r>
        <w:rPr>
          <w:rFonts w:hint="eastAsia" w:eastAsia="宋体"/>
          <w:b/>
          <w:bCs/>
          <w:sz w:val="20"/>
          <w:szCs w:val="20"/>
          <w:u w:val="single"/>
        </w:rPr>
        <w:t>L2/L3 ATG UE feature 4</w:t>
      </w:r>
      <w:r>
        <w:rPr>
          <w:rFonts w:hint="eastAsia" w:eastAsia="宋体"/>
          <w:b/>
          <w:bCs/>
          <w:sz w:val="20"/>
          <w:szCs w:val="20"/>
          <w:u w:val="single"/>
          <w:lang w:val="en-US" w:eastAsia="zh-CN"/>
        </w:rPr>
        <w:t>&amp;</w:t>
      </w:r>
      <w:r>
        <w:rPr>
          <w:rFonts w:hint="eastAsia" w:eastAsia="宋体"/>
          <w:b/>
          <w:bCs/>
          <w:sz w:val="20"/>
          <w:szCs w:val="20"/>
          <w:u w:val="single"/>
        </w:rPr>
        <w:t>5: SR triggered by a TA report and TA reporting during initial access</w:t>
      </w:r>
    </w:p>
    <w:p>
      <w:pPr>
        <w:tabs>
          <w:tab w:val="left" w:pos="1134"/>
        </w:tabs>
        <w:spacing w:before="60"/>
        <w:jc w:val="both"/>
        <w:rPr>
          <w:rFonts w:eastAsia="等线"/>
          <w:b/>
          <w:bCs/>
          <w:i/>
          <w:iCs/>
          <w:sz w:val="20"/>
          <w:szCs w:val="20"/>
        </w:rPr>
      </w:pPr>
      <w:r>
        <w:rPr>
          <w:rFonts w:hint="eastAsia" w:eastAsia="宋体"/>
          <w:sz w:val="20"/>
          <w:szCs w:val="20"/>
        </w:rPr>
        <w:t>TA report was introduced to address GP issue in last meeting, therefore, the related UE feature should be introduced.</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5</w:t>
      </w:r>
      <w:r>
        <w:rPr>
          <w:rFonts w:eastAsia="等线"/>
          <w:b/>
          <w:bCs/>
          <w:i/>
          <w:iCs/>
          <w:sz w:val="20"/>
          <w:szCs w:val="20"/>
        </w:rPr>
        <w:t xml:space="preserve">: </w:t>
      </w:r>
      <w:r>
        <w:rPr>
          <w:rFonts w:hint="eastAsia" w:eastAsia="等线"/>
          <w:b/>
          <w:bCs/>
          <w:i/>
          <w:iCs/>
          <w:sz w:val="20"/>
          <w:szCs w:val="20"/>
        </w:rPr>
        <w:t>Introduce the ATG UE feature of SR triggered by a TA report and TA reporting during initial access as follows:</w:t>
      </w:r>
    </w:p>
    <w:tbl>
      <w:tblPr>
        <w:tblStyle w:val="19"/>
        <w:tblW w:w="139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2867"/>
        <w:gridCol w:w="1713"/>
        <w:gridCol w:w="1074"/>
        <w:gridCol w:w="933"/>
        <w:gridCol w:w="1133"/>
        <w:gridCol w:w="1074"/>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S Mincho"/>
                <w:b/>
                <w:i/>
                <w:iCs/>
                <w:sz w:val="18"/>
                <w:highlight w:val="yellow"/>
                <w:lang w:eastAsia="en-GB"/>
              </w:rPr>
            </w:pPr>
            <w:r>
              <w:rPr>
                <w:rFonts w:eastAsia="宋体"/>
                <w:b/>
                <w:i/>
                <w:iCs/>
                <w:kern w:val="2"/>
                <w:sz w:val="18"/>
                <w:szCs w:val="18"/>
              </w:rPr>
              <w:t>Feature group</w:t>
            </w:r>
          </w:p>
        </w:tc>
        <w:tc>
          <w:tcPr>
            <w:tcW w:w="28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Components</w:t>
            </w:r>
          </w:p>
        </w:tc>
        <w:tc>
          <w:tcPr>
            <w:tcW w:w="171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SR triggered by a TA report</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Indicates whether the UE supports triggering of SR when a TA report is triggered and there are no available UL-SCH resources. </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hint="eastAsia" w:eastAsia="宋体"/>
                <w:b/>
                <w:i/>
                <w:iCs/>
                <w:kern w:val="2"/>
                <w:sz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MAC-ParametersCommon</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TA reporting during initial access</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 xml:space="preserve">It is mandatory to support TA reporting during initial access for UEs supporting </w:t>
            </w:r>
            <w:r>
              <w:rPr>
                <w:rFonts w:hint="eastAsia" w:eastAsia="宋体"/>
                <w:b/>
                <w:i/>
                <w:iCs/>
                <w:kern w:val="2"/>
                <w:sz w:val="18"/>
                <w:lang w:val="en-US" w:eastAsia="zh-CN"/>
              </w:rPr>
              <w:t>[</w:t>
            </w:r>
            <w:r>
              <w:rPr>
                <w:rFonts w:eastAsia="宋体"/>
                <w:b/>
                <w:i/>
                <w:iCs/>
                <w:kern w:val="2"/>
                <w:sz w:val="18"/>
                <w:lang w:eastAsia="en-GB"/>
              </w:rPr>
              <w:t>uplink-TA-Reporting-r17</w:t>
            </w:r>
            <w:r>
              <w:rPr>
                <w:rFonts w:hint="eastAsia" w:eastAsia="宋体"/>
                <w:b/>
                <w:i/>
                <w:iCs/>
                <w:kern w:val="2"/>
                <w:sz w:val="18"/>
                <w:lang w:val="en-US" w:eastAsia="zh-CN"/>
              </w:rPr>
              <w:t>]</w:t>
            </w:r>
            <w:r>
              <w:rPr>
                <w:rFonts w:eastAsia="宋体"/>
                <w:b/>
                <w:i/>
                <w:iCs/>
                <w:kern w:val="2"/>
                <w:sz w:val="18"/>
                <w:lang w:eastAsia="en-GB"/>
              </w:rPr>
              <w:t xml:space="preserve"> as specified in TS 38.321 [10].</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Conditional mandatory without capability signalling</w:t>
            </w:r>
          </w:p>
        </w:tc>
      </w:tr>
    </w:tbl>
    <w:p>
      <w:pPr>
        <w:tabs>
          <w:tab w:val="left" w:pos="1134"/>
        </w:tabs>
        <w:spacing w:before="60"/>
        <w:jc w:val="both"/>
        <w:rPr>
          <w:rFonts w:eastAsia="等线"/>
          <w:b/>
          <w:bCs/>
          <w:i/>
          <w:iCs/>
          <w:sz w:val="20"/>
          <w:szCs w:val="20"/>
        </w:rPr>
      </w:pPr>
    </w:p>
    <w:p>
      <w:pPr>
        <w:tabs>
          <w:tab w:val="left" w:pos="1134"/>
        </w:tabs>
        <w:spacing w:before="60"/>
        <w:jc w:val="both"/>
        <w:rPr>
          <w:rFonts w:eastAsia="宋体"/>
          <w:b/>
          <w:bCs/>
          <w:sz w:val="20"/>
          <w:szCs w:val="20"/>
          <w:u w:val="single"/>
        </w:rPr>
      </w:pPr>
      <w:r>
        <w:rPr>
          <w:rFonts w:hint="eastAsia" w:eastAsia="宋体"/>
          <w:b/>
          <w:bCs/>
          <w:sz w:val="20"/>
          <w:szCs w:val="20"/>
          <w:u w:val="single"/>
        </w:rPr>
        <w:t>RRM ATG UE features 1: Enhanced RRM requirements for measurements in IDLE and INACTIVE modes</w:t>
      </w:r>
    </w:p>
    <w:p>
      <w:pPr>
        <w:tabs>
          <w:tab w:val="left" w:pos="1134"/>
        </w:tabs>
        <w:spacing w:before="60"/>
        <w:jc w:val="both"/>
        <w:rPr>
          <w:rFonts w:eastAsia="宋体"/>
          <w:sz w:val="20"/>
          <w:szCs w:val="20"/>
        </w:rPr>
      </w:pPr>
      <w:r>
        <w:rPr>
          <w:rFonts w:hint="eastAsia" w:eastAsia="宋体"/>
          <w:sz w:val="20"/>
          <w:szCs w:val="20"/>
        </w:rPr>
        <w:t xml:space="preserve">In </w:t>
      </w:r>
      <w:r>
        <w:rPr>
          <w:rFonts w:hint="eastAsia" w:eastAsia="宋体"/>
          <w:sz w:val="20"/>
          <w:szCs w:val="20"/>
          <w:lang w:val="en-US" w:eastAsia="zh-CN"/>
        </w:rPr>
        <w:t>RAN4#108 meeting</w:t>
      </w:r>
      <w:r>
        <w:rPr>
          <w:rFonts w:hint="eastAsia" w:eastAsia="宋体"/>
          <w:sz w:val="20"/>
          <w:szCs w:val="20"/>
        </w:rPr>
        <w:t xml:space="preserve">, we achieved the agreement that </w:t>
      </w:r>
      <w:r>
        <w:rPr>
          <w:rFonts w:hint="eastAsia" w:eastAsia="宋体"/>
          <w:sz w:val="20"/>
          <w:szCs w:val="20"/>
          <w:lang w:val="en-GB"/>
        </w:rPr>
        <w:t>UE supporting set2 requirements for ATG is an optional feature without capability signaling.</w:t>
      </w:r>
      <w:r>
        <w:rPr>
          <w:rFonts w:hint="eastAsia" w:eastAsia="宋体"/>
          <w:sz w:val="20"/>
          <w:szCs w:val="20"/>
        </w:rPr>
        <w:t xml:space="preserve"> We propose to introduce the related UE feature.</w:t>
      </w:r>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rPr>
        <w:t>Introduce the ATG UE feature of Enhanced RRM requirements for measurements in IDLE and INACTIVE modes as follows:</w:t>
      </w:r>
    </w:p>
    <w:tbl>
      <w:tblPr>
        <w:tblStyle w:val="19"/>
        <w:tblW w:w="139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2877"/>
        <w:gridCol w:w="1738"/>
        <w:gridCol w:w="1046"/>
        <w:gridCol w:w="962"/>
        <w:gridCol w:w="1115"/>
        <w:gridCol w:w="1085"/>
        <w:gridCol w:w="2246"/>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highlight w:val="yellow"/>
              </w:rPr>
            </w:pPr>
            <w:r>
              <w:rPr>
                <w:rFonts w:eastAsia="宋体"/>
                <w:b/>
                <w:i/>
                <w:iCs/>
                <w:kern w:val="2"/>
                <w:sz w:val="18"/>
                <w:szCs w:val="18"/>
              </w:rPr>
              <w:t>Feature group</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Components</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Field name in TS 38.331 [2]</w:t>
            </w:r>
          </w:p>
        </w:tc>
        <w:tc>
          <w:tcPr>
            <w:tcW w:w="9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Note</w:t>
            </w: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Enhanced RRM requirements for measurements in IDLE and INACTIVE modes</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hint="eastAsia" w:eastAsia="宋体"/>
                <w:b/>
                <w:i/>
                <w:iCs/>
                <w:kern w:val="2"/>
                <w:sz w:val="18"/>
                <w:lang w:eastAsia="en-GB"/>
              </w:rPr>
              <w:t>Indicate the support of enhanced inter-frequency cell re-selection requirements for ATG (as specific in TS 38.133 Table 4.2D.2.4-2)</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0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9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Optional without capability signaling</w:t>
            </w:r>
          </w:p>
        </w:tc>
      </w:tr>
    </w:tbl>
    <w:p>
      <w:pPr>
        <w:pStyle w:val="2"/>
        <w:numPr>
          <w:ilvl w:val="0"/>
          <w:numId w:val="3"/>
        </w:numPr>
        <w:pBdr>
          <w:top w:val="none" w:color="auto" w:sz="0"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GB"/>
        </w:rPr>
        <w:t>UE capability for ATG UEs with antenna arrays</w:t>
      </w:r>
    </w:p>
    <w:p>
      <w:pPr>
        <w:rPr>
          <w:rFonts w:hint="default"/>
          <w:b/>
          <w:i/>
          <w:iCs/>
          <w:color w:val="auto"/>
          <w:sz w:val="20"/>
          <w:szCs w:val="20"/>
          <w:u w:val="single"/>
          <w:lang w:eastAsia="ko-KR"/>
        </w:rPr>
      </w:pPr>
      <w:r>
        <w:rPr>
          <w:rFonts w:hint="eastAsia"/>
          <w:b/>
          <w:i/>
          <w:iCs/>
          <w:color w:val="auto"/>
          <w:sz w:val="20"/>
          <w:szCs w:val="20"/>
          <w:u w:val="single"/>
          <w:lang w:eastAsia="ko-KR"/>
        </w:rPr>
        <w:t>Issue 5-2: If any additional UE capability is needed for ATG UEs with [antenna arrays]</w:t>
      </w:r>
    </w:p>
    <w:p>
      <w:pPr>
        <w:spacing w:after="60"/>
        <w:rPr>
          <w:rFonts w:hint="eastAsia" w:eastAsiaTheme="minorEastAsia"/>
          <w:b/>
          <w:bCs/>
          <w:i/>
          <w:iCs/>
          <w:color w:val="auto"/>
          <w:sz w:val="20"/>
          <w:szCs w:val="20"/>
          <w:lang w:val="en-US" w:eastAsia="zh-CN"/>
        </w:rPr>
      </w:pPr>
      <w:r>
        <w:rPr>
          <w:rFonts w:hint="eastAsia" w:eastAsiaTheme="minorEastAsia"/>
          <w:b/>
          <w:bCs/>
          <w:i/>
          <w:iCs/>
          <w:color w:val="auto"/>
          <w:sz w:val="20"/>
          <w:szCs w:val="20"/>
          <w:lang w:val="en-US" w:eastAsia="zh-CN"/>
        </w:rPr>
        <w:t>Proposals</w:t>
      </w:r>
    </w:p>
    <w:p>
      <w:pPr>
        <w:pStyle w:val="74"/>
        <w:numPr>
          <w:ilvl w:val="0"/>
          <w:numId w:val="5"/>
        </w:numPr>
        <w:spacing w:after="120"/>
        <w:ind w:firstLineChars="0"/>
        <w:rPr>
          <w:rFonts w:hint="eastAsia" w:eastAsia="宋体" w:cs="Times New Roman"/>
          <w:i/>
          <w:iCs/>
          <w:color w:val="auto"/>
          <w:sz w:val="20"/>
          <w:szCs w:val="20"/>
          <w:highlight w:val="none"/>
          <w:lang w:eastAsia="zh-CN"/>
        </w:rPr>
      </w:pPr>
      <w:r>
        <w:rPr>
          <w:rFonts w:hint="eastAsia" w:eastAsia="宋体" w:cs="Times New Roman"/>
          <w:i/>
          <w:iCs/>
          <w:color w:val="auto"/>
          <w:sz w:val="20"/>
          <w:szCs w:val="20"/>
          <w:highlight w:val="none"/>
          <w:lang w:eastAsia="zh-CN"/>
        </w:rPr>
        <w:t>Option 1: No capability is needed for ATG UE to support antenna arrays in FR1 4GHz.</w:t>
      </w:r>
    </w:p>
    <w:p>
      <w:pPr>
        <w:pStyle w:val="74"/>
        <w:numPr>
          <w:ilvl w:val="0"/>
          <w:numId w:val="5"/>
        </w:numPr>
        <w:spacing w:after="120"/>
        <w:ind w:firstLineChars="0"/>
        <w:rPr>
          <w:rFonts w:hint="eastAsia" w:eastAsia="宋体" w:cs="Times New Roman"/>
          <w:i/>
          <w:iCs/>
          <w:color w:val="auto"/>
          <w:sz w:val="20"/>
          <w:szCs w:val="20"/>
          <w:highlight w:val="none"/>
          <w:lang w:eastAsia="zh-CN"/>
        </w:rPr>
      </w:pPr>
      <w:r>
        <w:rPr>
          <w:rFonts w:hint="eastAsia" w:eastAsia="宋体" w:cs="Times New Roman"/>
          <w:i/>
          <w:iCs/>
          <w:color w:val="auto"/>
          <w:sz w:val="20"/>
          <w:szCs w:val="20"/>
          <w:highlight w:val="none"/>
          <w:lang w:val="en-US" w:eastAsia="zh-CN"/>
        </w:rPr>
        <w:t>Option 2: D</w:t>
      </w:r>
      <w:r>
        <w:rPr>
          <w:rFonts w:hint="eastAsia" w:eastAsia="宋体" w:cs="Times New Roman"/>
          <w:i/>
          <w:iCs/>
          <w:color w:val="auto"/>
          <w:sz w:val="20"/>
          <w:szCs w:val="20"/>
          <w:highlight w:val="none"/>
          <w:lang w:eastAsia="zh-CN"/>
        </w:rPr>
        <w:t>efine a UE capability to differentiate UE with [omnidirectional antennas] and UE with [antenna arrays].</w:t>
      </w:r>
      <w:r>
        <w:rPr>
          <w:rFonts w:hint="eastAsia" w:eastAsia="宋体" w:cs="Times New Roman"/>
          <w:i/>
          <w:iCs/>
          <w:color w:val="auto"/>
          <w:sz w:val="20"/>
          <w:szCs w:val="20"/>
          <w:highlight w:val="none"/>
          <w:lang w:val="en-US" w:eastAsia="zh-CN"/>
        </w:rPr>
        <w:t xml:space="preserve"> </w:t>
      </w:r>
    </w:p>
    <w:p>
      <w:pPr>
        <w:pStyle w:val="74"/>
        <w:numPr>
          <w:ilvl w:val="0"/>
          <w:numId w:val="5"/>
        </w:numPr>
        <w:spacing w:after="120"/>
        <w:ind w:firstLineChars="0"/>
        <w:rPr>
          <w:rFonts w:hint="eastAsia" w:eastAsia="宋体" w:cs="Times New Roman"/>
          <w:i/>
          <w:iCs/>
          <w:color w:val="auto"/>
          <w:sz w:val="20"/>
          <w:szCs w:val="20"/>
          <w:highlight w:val="none"/>
          <w:lang w:eastAsia="zh-CN"/>
        </w:rPr>
      </w:pPr>
      <w:r>
        <w:rPr>
          <w:rFonts w:hint="eastAsia" w:eastAsia="宋体" w:cs="Times New Roman"/>
          <w:i/>
          <w:iCs/>
          <w:color w:val="auto"/>
          <w:sz w:val="20"/>
          <w:szCs w:val="20"/>
          <w:highlight w:val="none"/>
          <w:lang w:val="en-US" w:eastAsia="zh-CN"/>
        </w:rPr>
        <w:t xml:space="preserve">Option 3: For the band n79 capable UE, it works with phase antenna array by default at band n79. </w:t>
      </w:r>
    </w:p>
    <w:p>
      <w:pPr>
        <w:pStyle w:val="74"/>
        <w:numPr>
          <w:ilvl w:val="1"/>
          <w:numId w:val="5"/>
        </w:numPr>
        <w:spacing w:after="120"/>
        <w:ind w:left="1656" w:leftChars="0" w:hanging="360" w:firstLineChars="0"/>
        <w:rPr>
          <w:rFonts w:hint="eastAsia" w:eastAsia="宋体" w:cs="Times New Roman"/>
          <w:i/>
          <w:iCs/>
          <w:color w:val="auto"/>
          <w:sz w:val="20"/>
          <w:szCs w:val="20"/>
          <w:highlight w:val="none"/>
          <w:lang w:eastAsia="zh-CN"/>
        </w:rPr>
      </w:pPr>
      <w:r>
        <w:rPr>
          <w:rFonts w:hint="eastAsia" w:eastAsia="宋体" w:cs="Times New Roman"/>
          <w:i/>
          <w:iCs/>
          <w:color w:val="auto"/>
          <w:sz w:val="20"/>
          <w:szCs w:val="20"/>
          <w:highlight w:val="none"/>
          <w:lang w:val="en-US" w:eastAsia="zh-CN"/>
        </w:rPr>
        <w:t>Regarding the antenna assumption, phase antenna array is tied with band n79, and omni-antenna is tied with other ATG bands.</w:t>
      </w:r>
    </w:p>
    <w:p>
      <w:pPr>
        <w:pStyle w:val="74"/>
        <w:numPr>
          <w:ilvl w:val="0"/>
          <w:numId w:val="5"/>
        </w:numPr>
        <w:spacing w:after="120"/>
        <w:ind w:left="936" w:leftChars="0" w:hanging="360" w:firstLineChars="0"/>
        <w:rPr>
          <w:rFonts w:hint="eastAsia" w:eastAsia="宋体" w:cs="Times New Roman"/>
          <w:i/>
          <w:iCs/>
          <w:color w:val="auto"/>
          <w:sz w:val="20"/>
          <w:szCs w:val="20"/>
          <w:highlight w:val="none"/>
          <w:lang w:eastAsia="zh-CN"/>
        </w:rPr>
      </w:pPr>
      <w:r>
        <w:rPr>
          <w:rFonts w:hint="eastAsia" w:eastAsia="宋体" w:cs="Times New Roman"/>
          <w:i/>
          <w:iCs/>
          <w:color w:val="auto"/>
          <w:sz w:val="20"/>
          <w:szCs w:val="20"/>
          <w:highlight w:val="none"/>
          <w:lang w:val="en-US" w:eastAsia="zh-CN"/>
        </w:rPr>
        <w:t>Other Options are not precluded.</w:t>
      </w:r>
    </w:p>
    <w:p>
      <w:pPr>
        <w:tabs>
          <w:tab w:val="left" w:pos="1134"/>
        </w:tabs>
        <w:spacing w:before="60"/>
        <w:jc w:val="both"/>
        <w:rPr>
          <w:rFonts w:hint="default"/>
          <w:sz w:val="20"/>
          <w:szCs w:val="20"/>
          <w:lang w:val="en-US" w:eastAsia="zh-CN"/>
        </w:rPr>
      </w:pPr>
      <w:r>
        <w:rPr>
          <w:rFonts w:hint="eastAsia"/>
          <w:sz w:val="20"/>
          <w:szCs w:val="20"/>
          <w:lang w:val="en-US" w:eastAsia="zh-CN"/>
        </w:rPr>
        <w:t>In last meeting, RF session has agreed to introduce new capability of ATG UE to support different requirements, the LS has been sent to RAN2 [4]. We copy the related contents below for convenience.</w:t>
      </w:r>
    </w:p>
    <w:p>
      <w:pPr>
        <w:numPr>
          <w:ilvl w:val="0"/>
          <w:numId w:val="6"/>
        </w:numPr>
        <w:spacing w:beforeLines="50" w:afterLines="50"/>
        <w:rPr>
          <w:rFonts w:ascii="Arial" w:hAnsi="Arial" w:eastAsia="宋体" w:cs="Arial"/>
          <w:i/>
          <w:iCs/>
          <w:sz w:val="20"/>
          <w:szCs w:val="20"/>
        </w:rPr>
      </w:pPr>
      <w:r>
        <w:rPr>
          <w:rFonts w:ascii="Arial" w:hAnsi="Arial" w:eastAsia="宋体" w:cs="Arial"/>
          <w:i/>
          <w:iCs/>
          <w:sz w:val="20"/>
          <w:szCs w:val="20"/>
        </w:rPr>
        <w:t xml:space="preserve">New capability of ATG UE to support </w:t>
      </w:r>
      <w:r>
        <w:rPr>
          <w:rFonts w:hint="eastAsia" w:ascii="Arial" w:hAnsi="Arial" w:eastAsia="宋体" w:cs="Arial"/>
          <w:i/>
          <w:iCs/>
          <w:sz w:val="20"/>
          <w:szCs w:val="20"/>
        </w:rPr>
        <w:t>different</w:t>
      </w:r>
      <w:r>
        <w:rPr>
          <w:rFonts w:ascii="Arial" w:hAnsi="Arial" w:eastAsia="宋体" w:cs="Arial"/>
          <w:i/>
          <w:iCs/>
          <w:sz w:val="20"/>
          <w:szCs w:val="20"/>
        </w:rPr>
        <w:t xml:space="preserve"> requirements </w:t>
      </w:r>
    </w:p>
    <w:p>
      <w:pPr>
        <w:spacing w:beforeLines="50" w:afterLines="50"/>
        <w:rPr>
          <w:rFonts w:ascii="Arial" w:hAnsi="Arial" w:eastAsia="宋体" w:cs="Arial"/>
          <w:i/>
          <w:iCs/>
          <w:sz w:val="20"/>
          <w:szCs w:val="20"/>
        </w:rPr>
      </w:pPr>
      <w:r>
        <w:rPr>
          <w:rFonts w:ascii="Arial" w:hAnsi="Arial" w:cs="Arial"/>
          <w:i/>
          <w:iCs/>
          <w:sz w:val="20"/>
          <w:szCs w:val="20"/>
        </w:rPr>
        <w:t xml:space="preserve">RAN4 has defined two sets of RF and RRM requirements considering the implementation freedom for ATG UE with omi-directional antenna and/or antenna array. </w:t>
      </w:r>
      <w:r>
        <w:rPr>
          <w:rFonts w:ascii="Arial" w:hAnsi="Arial" w:cs="Arial"/>
          <w:i/>
          <w:iCs/>
          <w:sz w:val="20"/>
          <w:szCs w:val="20"/>
          <w:lang w:val="en-GB"/>
        </w:rPr>
        <w:t xml:space="preserve">RAN4 kindly asks RAN2 </w:t>
      </w:r>
      <w:r>
        <w:rPr>
          <w:rFonts w:ascii="Arial" w:hAnsi="Arial" w:eastAsia="宋体" w:cs="Arial"/>
          <w:i/>
          <w:iCs/>
          <w:sz w:val="20"/>
          <w:szCs w:val="20"/>
        </w:rPr>
        <w:t>to define new UE capability for supporting the requirements defined for ATG UE with omi-directional antenna in TS 38.101-1 and TS 38.133, and UE capability for supporting the requirements defined for ATG UE with antenna array in TS 38.101 and TS 38.133.</w:t>
      </w:r>
      <w:r>
        <w:rPr>
          <w:rFonts w:hint="eastAsia" w:ascii="Arial" w:hAnsi="Arial" w:eastAsia="宋体" w:cs="Arial"/>
          <w:i/>
          <w:iCs/>
          <w:sz w:val="20"/>
          <w:szCs w:val="20"/>
          <w:lang w:val="en-US" w:eastAsia="zh-CN"/>
        </w:rPr>
        <w:t xml:space="preserve"> </w:t>
      </w:r>
      <w:r>
        <w:rPr>
          <w:rFonts w:ascii="Arial" w:hAnsi="Arial" w:eastAsia="宋体" w:cs="Arial"/>
          <w:i/>
          <w:iCs/>
          <w:sz w:val="20"/>
          <w:szCs w:val="20"/>
        </w:rPr>
        <w:t xml:space="preserve">The UE capability </w:t>
      </w:r>
      <w:r>
        <w:rPr>
          <w:rFonts w:hint="eastAsia" w:ascii="Arial" w:hAnsi="Arial" w:eastAsia="宋体" w:cs="Arial"/>
          <w:i/>
          <w:iCs/>
          <w:sz w:val="20"/>
          <w:szCs w:val="20"/>
          <w:lang w:val="en-US" w:eastAsia="zh-CN"/>
        </w:rPr>
        <w:t xml:space="preserve">is per band basis and </w:t>
      </w:r>
      <w:r>
        <w:rPr>
          <w:rFonts w:ascii="Arial" w:hAnsi="Arial" w:eastAsia="宋体" w:cs="Arial"/>
          <w:i/>
          <w:iCs/>
          <w:sz w:val="20"/>
          <w:szCs w:val="20"/>
        </w:rPr>
        <w:t xml:space="preserve">only applies for </w:t>
      </w:r>
      <w:r>
        <w:rPr>
          <w:rFonts w:hint="eastAsia" w:ascii="Arial" w:hAnsi="Arial" w:eastAsia="宋体" w:cs="Arial"/>
          <w:i/>
          <w:iCs/>
          <w:sz w:val="20"/>
          <w:szCs w:val="20"/>
          <w:lang w:val="en-US" w:eastAsia="zh-CN"/>
        </w:rPr>
        <w:t xml:space="preserve">FR1 </w:t>
      </w:r>
      <w:r>
        <w:rPr>
          <w:rFonts w:ascii="Arial" w:hAnsi="Arial" w:eastAsia="宋体" w:cs="Arial"/>
          <w:i/>
          <w:iCs/>
          <w:sz w:val="20"/>
          <w:szCs w:val="20"/>
        </w:rPr>
        <w:t>ATG operation bands including both TDD and FDD bands.</w:t>
      </w:r>
    </w:p>
    <w:p>
      <w:pPr>
        <w:rPr>
          <w:rFonts w:hint="eastAsia"/>
          <w:sz w:val="20"/>
          <w:szCs w:val="20"/>
          <w:lang w:val="en-US" w:eastAsia="zh-CN"/>
        </w:rPr>
      </w:pPr>
      <w:r>
        <w:rPr>
          <w:rFonts w:hint="eastAsia"/>
          <w:sz w:val="20"/>
          <w:szCs w:val="20"/>
          <w:lang w:val="en-US" w:eastAsia="zh-CN"/>
        </w:rPr>
        <w:t>Hence, the issue can be skipped, RRM follows the new UE capability agreed in RF session.</w:t>
      </w:r>
    </w:p>
    <w:p>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lang w:val="en-US" w:eastAsia="zh-CN"/>
        </w:rPr>
        <w:t>Observation 1: In RAN4#108bis, RF session has agreed to introduce new capability of ATG UE to support different requirements.</w:t>
      </w:r>
    </w:p>
    <w:p>
      <w:pPr>
        <w:tabs>
          <w:tab w:val="left" w:pos="1134"/>
        </w:tabs>
        <w:spacing w:before="60"/>
        <w:jc w:val="both"/>
        <w:rPr>
          <w:rFonts w:hint="eastAsia" w:eastAsia="等线"/>
          <w:b/>
          <w:bCs/>
          <w:i/>
          <w:iCs/>
          <w:sz w:val="20"/>
          <w:szCs w:val="20"/>
        </w:rPr>
      </w:pP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sz w:val="20"/>
          <w:szCs w:val="20"/>
        </w:rPr>
      </w:pPr>
      <w:r>
        <w:rPr>
          <w:sz w:val="20"/>
          <w:szCs w:val="20"/>
        </w:rPr>
        <w:t>Based on the discussion above, the following</w:t>
      </w:r>
      <w:r>
        <w:rPr>
          <w:rFonts w:hint="eastAsia"/>
          <w:sz w:val="20"/>
          <w:szCs w:val="20"/>
        </w:rPr>
        <w:t xml:space="preserve"> </w:t>
      </w:r>
      <w:r>
        <w:rPr>
          <w:sz w:val="20"/>
          <w:szCs w:val="20"/>
        </w:rPr>
        <w:t xml:space="preserve">proposals are concluded. </w:t>
      </w:r>
      <w:bookmarkEnd w:id="7"/>
      <w:bookmarkEnd w:id="8"/>
    </w:p>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1</w:t>
      </w:r>
      <w:r>
        <w:rPr>
          <w:rFonts w:eastAsia="等线"/>
          <w:b/>
          <w:bCs/>
          <w:i/>
          <w:iCs/>
          <w:sz w:val="20"/>
          <w:szCs w:val="20"/>
        </w:rPr>
        <w:t xml:space="preserve">: </w:t>
      </w:r>
      <w:r>
        <w:rPr>
          <w:rFonts w:hint="eastAsia" w:eastAsia="等线"/>
          <w:b/>
          <w:bCs/>
          <w:i/>
          <w:iCs/>
          <w:sz w:val="20"/>
          <w:szCs w:val="20"/>
        </w:rPr>
        <w:t>Introduce the ATG UE feature of uplink time and frequency pre-compensation and timing relationship enhancements as follows:</w:t>
      </w:r>
    </w:p>
    <w:tbl>
      <w:tblPr>
        <w:tblStyle w:val="19"/>
        <w:tblW w:w="13927"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3620"/>
        <w:gridCol w:w="1006"/>
        <w:gridCol w:w="1040"/>
        <w:gridCol w:w="927"/>
        <w:gridCol w:w="1113"/>
        <w:gridCol w:w="1087"/>
        <w:gridCol w:w="2267"/>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Pr>
          <w:p>
            <w:pPr>
              <w:keepNext/>
              <w:keepLines/>
              <w:widowControl w:val="0"/>
              <w:jc w:val="center"/>
              <w:rPr>
                <w:rFonts w:eastAsia="宋体"/>
                <w:b/>
                <w:i/>
                <w:iCs/>
                <w:kern w:val="2"/>
                <w:sz w:val="18"/>
                <w:szCs w:val="18"/>
              </w:rPr>
            </w:pPr>
            <w:r>
              <w:rPr>
                <w:rFonts w:eastAsia="宋体"/>
                <w:b/>
                <w:i/>
                <w:iCs/>
                <w:kern w:val="2"/>
                <w:sz w:val="18"/>
                <w:szCs w:val="18"/>
              </w:rPr>
              <w:t>Feature group</w:t>
            </w:r>
          </w:p>
        </w:tc>
        <w:tc>
          <w:tcPr>
            <w:tcW w:w="3620" w:type="dxa"/>
          </w:tcPr>
          <w:p>
            <w:pPr>
              <w:keepNext/>
              <w:keepLines/>
              <w:widowControl w:val="0"/>
              <w:jc w:val="center"/>
              <w:rPr>
                <w:rFonts w:eastAsia="宋体"/>
                <w:b/>
                <w:i/>
                <w:iCs/>
                <w:kern w:val="2"/>
                <w:sz w:val="18"/>
                <w:szCs w:val="18"/>
              </w:rPr>
            </w:pPr>
            <w:r>
              <w:rPr>
                <w:rFonts w:eastAsia="宋体"/>
                <w:b/>
                <w:i/>
                <w:iCs/>
                <w:kern w:val="2"/>
                <w:sz w:val="18"/>
                <w:szCs w:val="18"/>
              </w:rPr>
              <w:t>Components</w:t>
            </w:r>
          </w:p>
        </w:tc>
        <w:tc>
          <w:tcPr>
            <w:tcW w:w="1006" w:type="dxa"/>
          </w:tcPr>
          <w:p>
            <w:pPr>
              <w:keepNext/>
              <w:keepLines/>
              <w:widowControl w:val="0"/>
              <w:jc w:val="center"/>
              <w:rPr>
                <w:rFonts w:eastAsia="宋体"/>
                <w:b/>
                <w:i/>
                <w:iCs/>
                <w:kern w:val="2"/>
                <w:sz w:val="18"/>
                <w:szCs w:val="18"/>
              </w:rPr>
            </w:pPr>
            <w:r>
              <w:rPr>
                <w:rFonts w:eastAsia="宋体"/>
                <w:b/>
                <w:i/>
                <w:iCs/>
                <w:kern w:val="2"/>
                <w:sz w:val="18"/>
                <w:szCs w:val="18"/>
              </w:rPr>
              <w:t>Prerequisite feature groups</w:t>
            </w:r>
          </w:p>
        </w:tc>
        <w:tc>
          <w:tcPr>
            <w:tcW w:w="1040" w:type="dxa"/>
          </w:tcPr>
          <w:p>
            <w:pPr>
              <w:keepNext/>
              <w:keepLines/>
              <w:widowControl w:val="0"/>
              <w:jc w:val="center"/>
              <w:rPr>
                <w:rFonts w:eastAsia="宋体"/>
                <w:b/>
                <w:i/>
                <w:iCs/>
                <w:kern w:val="2"/>
                <w:sz w:val="18"/>
                <w:szCs w:val="18"/>
              </w:rPr>
            </w:pPr>
            <w:r>
              <w:rPr>
                <w:rFonts w:eastAsia="宋体"/>
                <w:b/>
                <w:i/>
                <w:iCs/>
                <w:kern w:val="2"/>
                <w:sz w:val="18"/>
                <w:szCs w:val="18"/>
              </w:rPr>
              <w:t>Field name in TS 38.331 [2]</w:t>
            </w:r>
          </w:p>
        </w:tc>
        <w:tc>
          <w:tcPr>
            <w:tcW w:w="927" w:type="dxa"/>
          </w:tcPr>
          <w:p>
            <w:pPr>
              <w:keepNext/>
              <w:keepLines/>
              <w:widowControl w:val="0"/>
              <w:jc w:val="center"/>
              <w:rPr>
                <w:rFonts w:eastAsia="宋体"/>
                <w:b/>
                <w:i/>
                <w:iCs/>
                <w:kern w:val="2"/>
                <w:sz w:val="18"/>
                <w:szCs w:val="18"/>
              </w:rPr>
            </w:pPr>
            <w:r>
              <w:rPr>
                <w:rFonts w:eastAsia="宋体"/>
                <w:b/>
                <w:i/>
                <w:iCs/>
                <w:kern w:val="2"/>
                <w:sz w:val="18"/>
                <w:szCs w:val="18"/>
              </w:rPr>
              <w:t>Parent IE in TS 38.331 [2]</w:t>
            </w:r>
          </w:p>
        </w:tc>
        <w:tc>
          <w:tcPr>
            <w:tcW w:w="1113" w:type="dxa"/>
          </w:tcPr>
          <w:p>
            <w:pPr>
              <w:keepNext/>
              <w:keepLines/>
              <w:widowControl w:val="0"/>
              <w:jc w:val="center"/>
              <w:rPr>
                <w:rFonts w:eastAsia="宋体"/>
                <w:b/>
                <w:i/>
                <w:iCs/>
                <w:kern w:val="2"/>
                <w:sz w:val="18"/>
                <w:szCs w:val="18"/>
              </w:rPr>
            </w:pPr>
            <w:r>
              <w:rPr>
                <w:rFonts w:eastAsia="宋体"/>
                <w:b/>
                <w:i/>
                <w:iCs/>
                <w:kern w:val="2"/>
                <w:sz w:val="18"/>
                <w:szCs w:val="18"/>
              </w:rPr>
              <w:t>Need of FDD/TDD differentiation</w:t>
            </w:r>
          </w:p>
        </w:tc>
        <w:tc>
          <w:tcPr>
            <w:tcW w:w="1087" w:type="dxa"/>
          </w:tcPr>
          <w:p>
            <w:pPr>
              <w:keepNext/>
              <w:keepLines/>
              <w:widowControl w:val="0"/>
              <w:jc w:val="center"/>
              <w:rPr>
                <w:rFonts w:eastAsia="宋体"/>
                <w:b/>
                <w:i/>
                <w:iCs/>
                <w:kern w:val="2"/>
                <w:sz w:val="18"/>
                <w:szCs w:val="18"/>
              </w:rPr>
            </w:pPr>
            <w:r>
              <w:rPr>
                <w:rFonts w:eastAsia="宋体"/>
                <w:b/>
                <w:i/>
                <w:iCs/>
                <w:kern w:val="2"/>
                <w:sz w:val="18"/>
                <w:szCs w:val="18"/>
              </w:rPr>
              <w:t>Need of FR1/FR2 differentiation</w:t>
            </w:r>
          </w:p>
        </w:tc>
        <w:tc>
          <w:tcPr>
            <w:tcW w:w="2267" w:type="dxa"/>
          </w:tcPr>
          <w:p>
            <w:pPr>
              <w:keepNext/>
              <w:keepLines/>
              <w:widowControl w:val="0"/>
              <w:jc w:val="center"/>
              <w:rPr>
                <w:rFonts w:eastAsia="宋体"/>
                <w:b/>
                <w:i/>
                <w:iCs/>
                <w:kern w:val="2"/>
                <w:sz w:val="18"/>
                <w:szCs w:val="18"/>
              </w:rPr>
            </w:pPr>
            <w:r>
              <w:rPr>
                <w:rFonts w:eastAsia="宋体"/>
                <w:b/>
                <w:i/>
                <w:iCs/>
                <w:kern w:val="2"/>
                <w:sz w:val="18"/>
                <w:szCs w:val="18"/>
              </w:rPr>
              <w:t>Note</w:t>
            </w:r>
          </w:p>
        </w:tc>
        <w:tc>
          <w:tcPr>
            <w:tcW w:w="1440" w:type="dxa"/>
          </w:tcPr>
          <w:p>
            <w:pPr>
              <w:keepNext/>
              <w:keepLines/>
              <w:widowControl w:val="0"/>
              <w:jc w:val="center"/>
              <w:rPr>
                <w:rFonts w:eastAsia="宋体"/>
                <w:b/>
                <w:i/>
                <w:iCs/>
                <w:kern w:val="2"/>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Uplink Time and Frequency pre-compensation and timing relationship enhancements</w:t>
            </w:r>
          </w:p>
        </w:tc>
        <w:tc>
          <w:tcPr>
            <w:tcW w:w="362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Support of UE specific TA calculation based on its GNSS-acquired position and the  indicated BS location.</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For TA update in RRC_CONNECTED state, support of combination of both open (i.e. UE autonomous TA estimation) and closed (i.e., received TA commands) control loops</w:t>
            </w:r>
            <w:r>
              <w:rPr>
                <w:rFonts w:hint="eastAsia" w:eastAsia="宋体"/>
                <w:b/>
                <w:i/>
                <w:iCs/>
                <w:kern w:val="2"/>
                <w:sz w:val="18"/>
                <w:szCs w:val="18"/>
                <w:lang w:val="en-US" w:eastAsia="zh-CN"/>
              </w:rPr>
              <w:t>.</w:t>
            </w:r>
          </w:p>
          <w:p>
            <w:pPr>
              <w:keepNext/>
              <w:keepLines/>
              <w:widowControl w:val="0"/>
              <w:jc w:val="both"/>
              <w:rPr>
                <w:rFonts w:eastAsia="宋体"/>
                <w:b/>
                <w:i/>
                <w:iCs/>
                <w:kern w:val="2"/>
                <w:sz w:val="18"/>
                <w:szCs w:val="18"/>
              </w:rPr>
            </w:pPr>
            <w:r>
              <w:rPr>
                <w:rFonts w:eastAsia="宋体"/>
                <w:b/>
                <w:i/>
                <w:iCs/>
                <w:kern w:val="2"/>
                <w:sz w:val="18"/>
                <w:szCs w:val="18"/>
              </w:rPr>
              <w:t>Support of pre-compensation of the calculated TA in its uplink transmissions</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frequency pre-compensation to counter shift the Doppler experienced on the service link</w:t>
            </w:r>
            <w:r>
              <w:rPr>
                <w:rFonts w:hint="eastAsia" w:eastAsia="宋体"/>
                <w:b/>
                <w:i/>
                <w:iCs/>
                <w:kern w:val="2"/>
                <w:sz w:val="18"/>
                <w:szCs w:val="18"/>
                <w:lang w:val="en-US" w:eastAsia="zh-CN"/>
              </w:rPr>
              <w:t>.</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r>
              <w:rPr>
                <w:rFonts w:hint="eastAsia" w:eastAsia="宋体"/>
                <w:b/>
                <w:i/>
                <w:iCs/>
                <w:kern w:val="2"/>
                <w:sz w:val="18"/>
                <w:szCs w:val="18"/>
                <w:lang w:val="en-US" w:eastAsia="zh-CN"/>
              </w:rPr>
              <w:t>.</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UE receiving cell-specific K_offset in system information</w:t>
            </w:r>
            <w:r>
              <w:rPr>
                <w:rFonts w:hint="eastAsia" w:eastAsia="宋体"/>
                <w:b/>
                <w:i/>
                <w:iCs/>
                <w:kern w:val="2"/>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TBD</w:t>
            </w:r>
          </w:p>
        </w:tc>
        <w:tc>
          <w:tcPr>
            <w:tcW w:w="9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lang w:eastAsia="en-GB"/>
              </w:rPr>
              <w:t>BandNR</w:t>
            </w:r>
          </w:p>
        </w:tc>
        <w:tc>
          <w:tcPr>
            <w:tcW w:w="11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108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226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An ATG UE is required to at least support UE specific TA and frequency calculation based at least on its GNSS-acquired position and the indicated BS location</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Note: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Optional with capability signalling</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For UE supports NR communication via ATG, UE must indicate this FG is supported.</w:t>
            </w:r>
          </w:p>
          <w:p>
            <w:pPr>
              <w:keepNext/>
              <w:keepLines/>
              <w:widowControl w:val="0"/>
              <w:jc w:val="both"/>
              <w:rPr>
                <w:rFonts w:eastAsia="宋体"/>
                <w:b/>
                <w:i/>
                <w:iCs/>
                <w:kern w:val="2"/>
                <w:sz w:val="18"/>
                <w:szCs w:val="18"/>
              </w:rPr>
            </w:pP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2</w:t>
      </w:r>
      <w:r>
        <w:rPr>
          <w:rFonts w:eastAsia="等线"/>
          <w:b/>
          <w:bCs/>
          <w:i/>
          <w:iCs/>
          <w:sz w:val="20"/>
          <w:szCs w:val="20"/>
        </w:rPr>
        <w:t xml:space="preserve">: </w:t>
      </w:r>
      <w:r>
        <w:rPr>
          <w:rFonts w:hint="eastAsia" w:eastAsia="等线"/>
          <w:b/>
          <w:bCs/>
          <w:i/>
          <w:iCs/>
          <w:sz w:val="20"/>
          <w:szCs w:val="20"/>
        </w:rPr>
        <w:t>Introduce the ATG UE feature of UE reporting of TA information and UE-specific K_offset as follows:</w:t>
      </w:r>
    </w:p>
    <w:tbl>
      <w:tblPr>
        <w:tblStyle w:val="19"/>
        <w:tblW w:w="1394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40"/>
        <w:gridCol w:w="1040"/>
        <w:gridCol w:w="933"/>
        <w:gridCol w:w="1127"/>
        <w:gridCol w:w="1066"/>
        <w:gridCol w:w="2260"/>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highlight w:val="green"/>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Components</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Prerequisite feature groups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宋体" w:cs="Arial"/>
                <w:b/>
                <w:i/>
                <w:iCs/>
                <w:kern w:val="2"/>
                <w:sz w:val="18"/>
                <w:szCs w:val="18"/>
              </w:rPr>
            </w:pPr>
            <w:r>
              <w:rPr>
                <w:rFonts w:eastAsia="宋体"/>
                <w:b/>
                <w:i/>
                <w:iCs/>
                <w:kern w:val="2"/>
                <w:sz w:val="18"/>
                <w:szCs w:val="18"/>
              </w:rPr>
              <w:t>Parent IE in TS 38.331 [2]</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FDD/TDD differentiation</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Need of FR1/FR2 differentiation</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Note</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UE reporting of </w:t>
            </w:r>
            <w:r>
              <w:rPr>
                <w:rFonts w:hint="eastAsia" w:eastAsia="宋体"/>
                <w:b/>
                <w:i/>
                <w:iCs/>
                <w:kern w:val="2"/>
                <w:sz w:val="18"/>
              </w:rPr>
              <w:t xml:space="preserve">TA </w:t>
            </w:r>
            <w:r>
              <w:rPr>
                <w:rFonts w:eastAsia="宋体"/>
                <w:b/>
                <w:i/>
                <w:iCs/>
                <w:kern w:val="2"/>
                <w:sz w:val="18"/>
              </w:rPr>
              <w:t xml:space="preserve">information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 xml:space="preserve">Support UE reporting of </w:t>
            </w:r>
            <w:r>
              <w:rPr>
                <w:rFonts w:hint="eastAsia" w:eastAsia="宋体"/>
                <w:b/>
                <w:i/>
                <w:iCs/>
                <w:kern w:val="2"/>
                <w:sz w:val="18"/>
              </w:rPr>
              <w:t xml:space="preserve">TA </w:t>
            </w:r>
            <w:r>
              <w:rPr>
                <w:rFonts w:eastAsia="宋体"/>
                <w:b/>
                <w:i/>
                <w:iCs/>
                <w:kern w:val="2"/>
                <w:sz w:val="18"/>
              </w:rPr>
              <w:t>information</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hint="eastAsia" w:eastAsia="宋体"/>
                <w:b/>
                <w:i/>
                <w:iCs/>
                <w:kern w:val="2"/>
                <w:sz w:val="18"/>
              </w:rPr>
              <w:t>TBD</w:t>
            </w:r>
          </w:p>
          <w:p>
            <w:pPr>
              <w:keepNext/>
              <w:keepLines/>
              <w:widowControl w:val="0"/>
              <w:jc w:val="both"/>
              <w:rPr>
                <w:rFonts w:eastAsia="宋体"/>
                <w:b/>
                <w:i/>
                <w:iCs/>
                <w:kern w:val="2"/>
                <w:sz w:val="18"/>
              </w:rPr>
            </w:pPr>
            <w:r>
              <w:rPr>
                <w:rFonts w:hint="eastAsia" w:eastAsia="宋体"/>
                <w:b/>
                <w:i/>
                <w:iCs/>
                <w:kern w:val="2"/>
                <w:sz w:val="18"/>
              </w:rPr>
              <w:t>[Uplink Time and Frequency pre-compensation and timing relationship enhancements]</w:t>
            </w: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hint="eastAsia" w:eastAsia="宋体"/>
                <w:b/>
                <w:i/>
                <w:iCs/>
                <w:kern w:val="2"/>
                <w:sz w:val="18"/>
                <w:szCs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Note</w:t>
            </w:r>
            <w:r>
              <w:rPr>
                <w:rFonts w:hint="eastAsia" w:eastAsia="宋体"/>
                <w:b/>
                <w:i/>
                <w:iCs/>
                <w:kern w:val="2"/>
                <w:sz w:val="18"/>
                <w:lang w:val="en-US" w:eastAsia="zh-CN"/>
              </w:rPr>
              <w:t xml:space="preserve"> 1</w:t>
            </w:r>
            <w:r>
              <w:rPr>
                <w:rFonts w:eastAsia="宋体"/>
                <w:b/>
                <w:i/>
                <w:iCs/>
                <w:kern w:val="2"/>
                <w:sz w:val="18"/>
              </w:rPr>
              <w:t>: The exact content of UE reporting of information about the TA pre-compensation is up to RAN2</w:t>
            </w:r>
          </w:p>
          <w:p>
            <w:pPr>
              <w:keepNext/>
              <w:keepLines/>
              <w:widowControl w:val="0"/>
              <w:jc w:val="both"/>
              <w:rPr>
                <w:rFonts w:eastAsia="宋体"/>
                <w:b/>
                <w:i/>
                <w:iCs/>
                <w:kern w:val="2"/>
                <w:sz w:val="18"/>
              </w:rPr>
            </w:pPr>
          </w:p>
          <w:p>
            <w:pPr>
              <w:keepNext/>
              <w:keepLines/>
              <w:widowControl w:val="0"/>
              <w:jc w:val="both"/>
              <w:rPr>
                <w:rFonts w:eastAsia="宋体"/>
                <w:b/>
                <w:i/>
                <w:iCs/>
                <w:kern w:val="2"/>
                <w:sz w:val="18"/>
              </w:rPr>
            </w:pPr>
            <w:r>
              <w:rPr>
                <w:rFonts w:eastAsia="宋体"/>
                <w:b/>
                <w:i/>
                <w:iCs/>
                <w:kern w:val="2"/>
                <w:sz w:val="18"/>
              </w:rPr>
              <w:t>Note</w:t>
            </w:r>
            <w:r>
              <w:rPr>
                <w:rFonts w:hint="eastAsia" w:eastAsia="宋体"/>
                <w:b/>
                <w:i/>
                <w:iCs/>
                <w:kern w:val="2"/>
                <w:sz w:val="18"/>
                <w:lang w:val="en-US" w:eastAsia="zh-CN"/>
              </w:rPr>
              <w:t xml:space="preserve"> 2</w:t>
            </w:r>
            <w:r>
              <w:rPr>
                <w:rFonts w:eastAsia="宋体"/>
                <w:b/>
                <w:i/>
                <w:iCs/>
                <w:kern w:val="2"/>
                <w:sz w:val="18"/>
              </w:rPr>
              <w:t>: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both"/>
              <w:rPr>
                <w:rFonts w:eastAsia="宋体"/>
                <w:b/>
                <w:i/>
                <w:iCs/>
                <w:kern w:val="2"/>
                <w:sz w:val="18"/>
              </w:rPr>
            </w:pPr>
            <w:r>
              <w:rPr>
                <w:rFonts w:eastAsia="宋体"/>
                <w:b/>
                <w:i/>
                <w:iCs/>
                <w:kern w:val="2"/>
                <w:sz w:val="18"/>
              </w:rPr>
              <w:t>Optional</w:t>
            </w:r>
            <w:r>
              <w:rPr>
                <w:rFonts w:hint="eastAsia" w:eastAsia="宋体"/>
                <w:b/>
                <w:i/>
                <w:iCs/>
                <w:kern w:val="2"/>
                <w:sz w:val="18"/>
              </w:rPr>
              <w:t xml:space="preserve"> </w:t>
            </w:r>
            <w:r>
              <w:rPr>
                <w:rFonts w:eastAsia="宋体"/>
                <w:b/>
                <w:i/>
                <w:iCs/>
                <w:kern w:val="2"/>
                <w:sz w:val="18"/>
              </w:rPr>
              <w:t xml:space="preserve">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UE-specific K_offset </w:t>
            </w:r>
          </w:p>
        </w:tc>
        <w:tc>
          <w:tcPr>
            <w:tcW w:w="2887" w:type="dxa"/>
            <w:tcBorders>
              <w:top w:val="single" w:color="auto" w:sz="4" w:space="0"/>
              <w:left w:val="single" w:color="auto" w:sz="4" w:space="0"/>
              <w:bottom w:val="single" w:color="auto" w:sz="4" w:space="0"/>
              <w:right w:val="single" w:color="auto" w:sz="4" w:space="0"/>
            </w:tcBorders>
            <w:shd w:val="clear" w:color="auto" w:fill="auto"/>
          </w:tcPr>
          <w:p>
            <w:pPr>
              <w:pStyle w:val="28"/>
              <w:rPr>
                <w:rFonts w:hint="default"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reception of UE-specific K_offset via MAC-CE</w:t>
            </w:r>
            <w:r>
              <w:rPr>
                <w:rFonts w:hint="eastAsia" w:ascii="Times New Roman" w:hAnsi="Times New Roman" w:eastAsia="宋体"/>
                <w:b/>
                <w:i/>
                <w:iCs/>
                <w:kern w:val="2"/>
                <w:szCs w:val="24"/>
                <w:lang w:val="en-US" w:eastAsia="zh-CN"/>
              </w:rPr>
              <w:t>.</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determining the timing of PUSCH, PUCCH, CSI reference resource, transmission of aperiodic SRS, activation of TA command, first PUSCH transmission in CG Type 2 with UE-specific Koffset</w:t>
            </w:r>
          </w:p>
        </w:tc>
        <w:tc>
          <w:tcPr>
            <w:tcW w:w="174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w:t>
            </w:r>
            <w:r>
              <w:rPr>
                <w:rFonts w:ascii="Times New Roman" w:hAnsi="Times New Roman" w:eastAsia="宋体"/>
                <w:b/>
                <w:i/>
                <w:iCs/>
                <w:kern w:val="2"/>
                <w:szCs w:val="24"/>
                <w:lang w:val="en-US" w:eastAsia="zh-CN"/>
              </w:rPr>
              <w:t>Uplink Time and Frequency pre-compensation and timing relationship enhancements</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 xml:space="preserve">And </w:t>
            </w: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UE reporting of </w:t>
            </w:r>
            <w:r>
              <w:rPr>
                <w:rFonts w:hint="eastAsia" w:ascii="Times New Roman" w:hAnsi="Times New Roman" w:eastAsia="宋体"/>
                <w:b/>
                <w:i/>
                <w:iCs/>
                <w:kern w:val="2"/>
                <w:szCs w:val="24"/>
                <w:lang w:val="en-US" w:eastAsia="zh-CN"/>
              </w:rPr>
              <w:t>TA information]</w:t>
            </w:r>
          </w:p>
        </w:tc>
        <w:tc>
          <w:tcPr>
            <w:tcW w:w="1040"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3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6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6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6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3</w:t>
      </w:r>
      <w:r>
        <w:rPr>
          <w:rFonts w:eastAsia="等线"/>
          <w:b/>
          <w:bCs/>
          <w:i/>
          <w:iCs/>
          <w:sz w:val="20"/>
          <w:szCs w:val="20"/>
        </w:rPr>
        <w:t xml:space="preserve">: </w:t>
      </w:r>
      <w:r>
        <w:rPr>
          <w:rFonts w:hint="eastAsia" w:eastAsia="等线"/>
          <w:b/>
          <w:bCs/>
          <w:i/>
          <w:iCs/>
          <w:sz w:val="20"/>
          <w:szCs w:val="20"/>
        </w:rPr>
        <w:t>Introduce the ATG UE feature</w:t>
      </w:r>
      <w:r>
        <w:rPr>
          <w:rFonts w:hint="eastAsia" w:eastAsia="等线"/>
          <w:b/>
          <w:bCs/>
          <w:i/>
          <w:iCs/>
          <w:sz w:val="20"/>
          <w:szCs w:val="20"/>
          <w:lang w:val="en-US" w:eastAsia="zh-CN"/>
        </w:rPr>
        <w:t>s</w:t>
      </w:r>
      <w:r>
        <w:rPr>
          <w:rFonts w:hint="eastAsia" w:eastAsia="等线"/>
          <w:b/>
          <w:bCs/>
          <w:i/>
          <w:iCs/>
          <w:sz w:val="20"/>
          <w:szCs w:val="20"/>
        </w:rPr>
        <w:t xml:space="preserve"> of Increasing the number of HARQ processes and K1 range extension as follows:</w:t>
      </w:r>
    </w:p>
    <w:tbl>
      <w:tblPr>
        <w:tblStyle w:val="19"/>
        <w:tblW w:w="13934"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0"/>
        <w:gridCol w:w="1747"/>
        <w:gridCol w:w="1053"/>
        <w:gridCol w:w="907"/>
        <w:gridCol w:w="1146"/>
        <w:gridCol w:w="1080"/>
        <w:gridCol w:w="2247"/>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highlight w:val="green"/>
              </w:rPr>
            </w:pPr>
            <w:r>
              <w:rPr>
                <w:rFonts w:eastAsia="宋体"/>
                <w:b/>
                <w:i/>
                <w:iCs/>
                <w:kern w:val="2"/>
                <w:sz w:val="18"/>
                <w:szCs w:val="18"/>
              </w:rPr>
              <w:t>Feature group</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Components</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Prerequisite feature groups</w:t>
            </w:r>
          </w:p>
        </w:tc>
        <w:tc>
          <w:tcPr>
            <w:tcW w:w="10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cs="Arial"/>
                <w:b/>
                <w:i/>
                <w:iCs/>
                <w:szCs w:val="18"/>
              </w:rPr>
            </w:pPr>
            <w:r>
              <w:rPr>
                <w:rFonts w:eastAsia="宋体"/>
                <w:b/>
                <w:i/>
                <w:iCs/>
                <w:kern w:val="2"/>
                <w:sz w:val="18"/>
                <w:szCs w:val="18"/>
              </w:rPr>
              <w:t>Parent IE in TS 38.331 [2]</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Need of FR1/FR2 differentiation</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Note</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b/>
                <w:i/>
                <w:iCs/>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Increasing the number of HARQ processes</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The maximal supported HARQ process number is X for UL and Y for DL</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Candidate component values for (X,Y): {(16,32),(32,16),(32,32)}</w:t>
            </w:r>
          </w:p>
          <w:p>
            <w:pPr>
              <w:pStyle w:val="28"/>
              <w:rPr>
                <w:rFonts w:ascii="Times New Roman" w:hAnsi="Times New Roman" w:eastAsia="宋体"/>
                <w:b/>
                <w:i/>
                <w:iCs/>
                <w:kern w:val="2"/>
                <w:szCs w:val="24"/>
                <w:lang w:val="en-US" w:eastAsia="zh-CN"/>
              </w:rPr>
            </w:pPr>
          </w:p>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2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K1 range extension</w:t>
            </w:r>
          </w:p>
        </w:tc>
        <w:tc>
          <w:tcPr>
            <w:tcW w:w="28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extended K1 value range of (0..31) for unpaired spectrum</w:t>
            </w:r>
          </w:p>
        </w:tc>
        <w:tc>
          <w:tcPr>
            <w:tcW w:w="17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p>
        </w:tc>
        <w:tc>
          <w:tcPr>
            <w:tcW w:w="1053"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tc>
        <w:tc>
          <w:tcPr>
            <w:tcW w:w="907" w:type="dxa"/>
            <w:tcBorders>
              <w:top w:val="single" w:color="auto" w:sz="4" w:space="0"/>
              <w:left w:val="single" w:color="auto" w:sz="4" w:space="0"/>
              <w:bottom w:val="single" w:color="auto" w:sz="4" w:space="0"/>
              <w:right w:val="single" w:color="auto" w:sz="4" w:space="0"/>
            </w:tcBorders>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BandNR</w:t>
            </w:r>
          </w:p>
        </w:tc>
        <w:tc>
          <w:tcPr>
            <w:tcW w:w="1146"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1080"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w:t>
            </w:r>
          </w:p>
        </w:tc>
        <w:tc>
          <w:tcPr>
            <w:tcW w:w="22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Note: This UE feature group is applicable only for ATG operating bands</w:t>
            </w:r>
          </w:p>
        </w:tc>
        <w:tc>
          <w:tcPr>
            <w:tcW w:w="1447" w:type="dxa"/>
            <w:tcBorders>
              <w:top w:val="single" w:color="auto" w:sz="4" w:space="0"/>
              <w:left w:val="single" w:color="auto" w:sz="4" w:space="0"/>
              <w:bottom w:val="single" w:color="auto" w:sz="4" w:space="0"/>
              <w:right w:val="single" w:color="auto" w:sz="4" w:space="0"/>
            </w:tcBorders>
            <w:shd w:val="clear" w:color="auto" w:fill="auto"/>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 xml:space="preserve">Optional with capability signalling </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4</w:t>
      </w:r>
      <w:r>
        <w:rPr>
          <w:rFonts w:eastAsia="等线"/>
          <w:b/>
          <w:bCs/>
          <w:i/>
          <w:iCs/>
          <w:sz w:val="20"/>
          <w:szCs w:val="20"/>
        </w:rPr>
        <w:t xml:space="preserve">: </w:t>
      </w:r>
      <w:r>
        <w:rPr>
          <w:rFonts w:hint="eastAsia" w:eastAsia="等线"/>
          <w:b/>
          <w:bCs/>
          <w:i/>
          <w:iCs/>
          <w:sz w:val="20"/>
          <w:szCs w:val="20"/>
        </w:rPr>
        <w:t>Introduce the ATG UE feature of Location based CHO, Event A4 based CHO and Location-based measurement report trigger as follows:</w:t>
      </w:r>
    </w:p>
    <w:tbl>
      <w:tblPr>
        <w:tblStyle w:val="19"/>
        <w:tblW w:w="1392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33"/>
        <w:gridCol w:w="1060"/>
        <w:gridCol w:w="907"/>
        <w:gridCol w:w="1140"/>
        <w:gridCol w:w="1080"/>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GB"/>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Components</w:t>
            </w:r>
          </w:p>
        </w:tc>
        <w:tc>
          <w:tcPr>
            <w:tcW w:w="17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Prerequisite feature groups</w:t>
            </w:r>
          </w:p>
        </w:tc>
        <w:tc>
          <w:tcPr>
            <w:tcW w:w="106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Parent IE in TS 38.331 [2]</w:t>
            </w:r>
          </w:p>
        </w:tc>
        <w:tc>
          <w:tcPr>
            <w:tcW w:w="11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Location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Event A4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Event A4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Location-based measurement report trigger</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location-based triggered measurement reporting (i.e., event D1)</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p>
            <w:pPr>
              <w:keepNext/>
              <w:keepLines/>
              <w:rPr>
                <w:rFonts w:eastAsia="宋体"/>
                <w:b/>
                <w:i/>
                <w:iCs/>
                <w:kern w:val="2"/>
                <w:sz w:val="18"/>
              </w:rPr>
            </w:pPr>
            <w:r>
              <w:rPr>
                <w:rFonts w:hint="eastAsia" w:eastAsia="宋体"/>
                <w:b/>
                <w:i/>
                <w:iCs/>
                <w:kern w:val="2"/>
                <w:sz w:val="18"/>
              </w:rPr>
              <w:t>[</w:t>
            </w:r>
            <w:r>
              <w:rPr>
                <w:rFonts w:eastAsia="宋体"/>
                <w:b/>
                <w:i/>
                <w:iCs/>
                <w:kern w:val="2"/>
                <w:sz w:val="18"/>
                <w:lang w:eastAsia="en-GB"/>
              </w:rPr>
              <w:t>Location based CHO</w:t>
            </w:r>
            <w:r>
              <w:rPr>
                <w:rFonts w:hint="eastAsia" w:eastAsia="宋体"/>
                <w:b/>
                <w:i/>
                <w:iCs/>
                <w:kern w:val="2"/>
                <w:sz w:val="18"/>
              </w:rPr>
              <w:t>]</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MeasAndMobParametersCommon</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rPr>
        <w:t>5</w:t>
      </w:r>
      <w:r>
        <w:rPr>
          <w:rFonts w:eastAsia="等线"/>
          <w:b/>
          <w:bCs/>
          <w:i/>
          <w:iCs/>
          <w:sz w:val="20"/>
          <w:szCs w:val="20"/>
        </w:rPr>
        <w:t xml:space="preserve">: </w:t>
      </w:r>
      <w:r>
        <w:rPr>
          <w:rFonts w:hint="eastAsia" w:eastAsia="等线"/>
          <w:b/>
          <w:bCs/>
          <w:i/>
          <w:iCs/>
          <w:sz w:val="20"/>
          <w:szCs w:val="20"/>
        </w:rPr>
        <w:t>Introduce the ATG UE feature of SR triggered by a TA report and TA reporting during initial access as follows:</w:t>
      </w:r>
    </w:p>
    <w:tbl>
      <w:tblPr>
        <w:tblStyle w:val="19"/>
        <w:tblW w:w="13920"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3"/>
        <w:gridCol w:w="2867"/>
        <w:gridCol w:w="1713"/>
        <w:gridCol w:w="1074"/>
        <w:gridCol w:w="933"/>
        <w:gridCol w:w="1133"/>
        <w:gridCol w:w="1074"/>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S Mincho"/>
                <w:b/>
                <w:i/>
                <w:iCs/>
                <w:sz w:val="18"/>
                <w:highlight w:val="yellow"/>
                <w:lang w:eastAsia="en-GB"/>
              </w:rPr>
            </w:pPr>
            <w:r>
              <w:rPr>
                <w:rFonts w:eastAsia="宋体"/>
                <w:b/>
                <w:i/>
                <w:iCs/>
                <w:kern w:val="2"/>
                <w:sz w:val="18"/>
                <w:szCs w:val="18"/>
              </w:rPr>
              <w:t>Feature group</w:t>
            </w:r>
          </w:p>
        </w:tc>
        <w:tc>
          <w:tcPr>
            <w:tcW w:w="286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Components</w:t>
            </w:r>
          </w:p>
        </w:tc>
        <w:tc>
          <w:tcPr>
            <w:tcW w:w="171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Field name in TS 38.331 [2]</w:t>
            </w:r>
          </w:p>
        </w:tc>
        <w:tc>
          <w:tcPr>
            <w:tcW w:w="9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74"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SR triggered by a TA report</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Indicates whether the UE supports triggering of SR when a TA report is triggered and there are no available UL-SCH resources. </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hint="eastAsia" w:eastAsia="宋体"/>
                <w:b/>
                <w:i/>
                <w:iCs/>
                <w:kern w:val="2"/>
                <w:sz w:val="18"/>
              </w:rPr>
              <w:t>TBD</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MAC-ParametersCommon</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14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TA reporting during initial access</w:t>
            </w:r>
          </w:p>
        </w:tc>
        <w:tc>
          <w:tcPr>
            <w:tcW w:w="286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 xml:space="preserve">It is mandatory to support TA reporting during initial access for UEs supporting </w:t>
            </w:r>
            <w:r>
              <w:rPr>
                <w:rFonts w:hint="eastAsia" w:eastAsia="宋体"/>
                <w:b/>
                <w:i/>
                <w:iCs/>
                <w:kern w:val="2"/>
                <w:sz w:val="18"/>
                <w:lang w:val="en-US" w:eastAsia="zh-CN"/>
              </w:rPr>
              <w:t>[</w:t>
            </w:r>
            <w:r>
              <w:rPr>
                <w:rFonts w:eastAsia="宋体"/>
                <w:b/>
                <w:i/>
                <w:iCs/>
                <w:kern w:val="2"/>
                <w:sz w:val="18"/>
                <w:lang w:eastAsia="en-GB"/>
              </w:rPr>
              <w:t>uplink-TA-Reporting-r17</w:t>
            </w:r>
            <w:r>
              <w:rPr>
                <w:rFonts w:hint="eastAsia" w:eastAsia="宋体"/>
                <w:b/>
                <w:i/>
                <w:iCs/>
                <w:kern w:val="2"/>
                <w:sz w:val="18"/>
                <w:lang w:val="en-US" w:eastAsia="zh-CN"/>
              </w:rPr>
              <w:t>]</w:t>
            </w:r>
            <w:r>
              <w:rPr>
                <w:rFonts w:eastAsia="宋体"/>
                <w:b/>
                <w:i/>
                <w:iCs/>
                <w:kern w:val="2"/>
                <w:sz w:val="18"/>
                <w:lang w:eastAsia="en-GB"/>
              </w:rPr>
              <w:t xml:space="preserve"> as specified in TS 38.321 [10].</w:t>
            </w:r>
          </w:p>
        </w:tc>
        <w:tc>
          <w:tcPr>
            <w:tcW w:w="171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9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n/a</w:t>
            </w:r>
          </w:p>
        </w:tc>
        <w:tc>
          <w:tcPr>
            <w:tcW w:w="11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1074"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n/a</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Conditional mandatory without capability signalling</w:t>
            </w:r>
          </w:p>
        </w:tc>
      </w:tr>
    </w:tbl>
    <w:p>
      <w:pPr>
        <w:tabs>
          <w:tab w:val="left" w:pos="1134"/>
        </w:tabs>
        <w:spacing w:before="60"/>
        <w:jc w:val="both"/>
        <w:rPr>
          <w:rFonts w:eastAsia="等线"/>
          <w:b/>
          <w:bCs/>
          <w:i/>
          <w:iCs/>
          <w:sz w:val="20"/>
          <w:szCs w:val="20"/>
        </w:rPr>
      </w:pPr>
      <w:r>
        <w:rPr>
          <w:rFonts w:eastAsia="等线"/>
          <w:b/>
          <w:bCs/>
          <w:i/>
          <w:iCs/>
          <w:sz w:val="20"/>
          <w:szCs w:val="20"/>
        </w:rPr>
        <w:t xml:space="preserve">Proposal </w:t>
      </w:r>
      <w:r>
        <w:rPr>
          <w:rFonts w:hint="eastAsia" w:eastAsia="等线"/>
          <w:b/>
          <w:bCs/>
          <w:i/>
          <w:iCs/>
          <w:sz w:val="20"/>
          <w:szCs w:val="20"/>
          <w:lang w:val="en-US" w:eastAsia="zh-CN"/>
        </w:rPr>
        <w:t>6</w:t>
      </w:r>
      <w:r>
        <w:rPr>
          <w:rFonts w:eastAsia="等线"/>
          <w:b/>
          <w:bCs/>
          <w:i/>
          <w:iCs/>
          <w:sz w:val="20"/>
          <w:szCs w:val="20"/>
        </w:rPr>
        <w:t xml:space="preserve">: </w:t>
      </w:r>
      <w:r>
        <w:rPr>
          <w:rFonts w:hint="eastAsia" w:eastAsia="等线"/>
          <w:b/>
          <w:bCs/>
          <w:i/>
          <w:iCs/>
          <w:sz w:val="20"/>
          <w:szCs w:val="20"/>
        </w:rPr>
        <w:t>Introduce the ATG UE feature of Enhanced RRM requirements for measurements in IDLE and INACTIVE modes as follows:</w:t>
      </w:r>
    </w:p>
    <w:tbl>
      <w:tblPr>
        <w:tblStyle w:val="19"/>
        <w:tblW w:w="13923" w:type="dxa"/>
        <w:tblInd w:w="12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8"/>
        <w:gridCol w:w="2877"/>
        <w:gridCol w:w="1738"/>
        <w:gridCol w:w="1046"/>
        <w:gridCol w:w="962"/>
        <w:gridCol w:w="1115"/>
        <w:gridCol w:w="1085"/>
        <w:gridCol w:w="2246"/>
        <w:gridCol w:w="14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highlight w:val="yellow"/>
              </w:rPr>
            </w:pPr>
            <w:r>
              <w:rPr>
                <w:rFonts w:eastAsia="宋体"/>
                <w:b/>
                <w:i/>
                <w:iCs/>
                <w:kern w:val="2"/>
                <w:sz w:val="18"/>
                <w:szCs w:val="18"/>
              </w:rPr>
              <w:t>Feature group</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Components</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Prerequisite feature groups</w:t>
            </w:r>
          </w:p>
        </w:tc>
        <w:tc>
          <w:tcPr>
            <w:tcW w:w="1046"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cs="Arial"/>
                <w:b/>
                <w:i/>
                <w:iCs/>
                <w:sz w:val="18"/>
              </w:rPr>
            </w:pPr>
            <w:r>
              <w:rPr>
                <w:rFonts w:eastAsia="宋体"/>
                <w:b/>
                <w:i/>
                <w:iCs/>
                <w:kern w:val="2"/>
                <w:sz w:val="18"/>
                <w:szCs w:val="18"/>
              </w:rPr>
              <w:t>Field name in TS 38.331 [2]</w:t>
            </w:r>
          </w:p>
        </w:tc>
        <w:tc>
          <w:tcPr>
            <w:tcW w:w="962"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ascii="Arial" w:hAnsi="Arial"/>
                <w:b/>
                <w:i/>
                <w:iCs/>
                <w:sz w:val="18"/>
              </w:rPr>
            </w:pPr>
            <w:r>
              <w:rPr>
                <w:rFonts w:eastAsia="宋体"/>
                <w:b/>
                <w:i/>
                <w:iCs/>
                <w:kern w:val="2"/>
                <w:sz w:val="18"/>
                <w:szCs w:val="18"/>
              </w:rPr>
              <w:t>Parent IE in TS 38.331 [2]</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FDD/TDD differentiation</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eastAsia="Malgun Gothic"/>
                <w:b/>
                <w:i/>
                <w:iCs/>
                <w:sz w:val="18"/>
                <w:lang w:eastAsia="en-US"/>
              </w:rPr>
            </w:pPr>
            <w:r>
              <w:rPr>
                <w:rFonts w:eastAsia="宋体"/>
                <w:b/>
                <w:i/>
                <w:iCs/>
                <w:kern w:val="2"/>
                <w:sz w:val="18"/>
                <w:szCs w:val="18"/>
              </w:rPr>
              <w:t>Need of FR1/FR2 differentiation</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b/>
                <w:i/>
                <w:iCs/>
                <w:sz w:val="18"/>
              </w:rPr>
            </w:pPr>
            <w:r>
              <w:rPr>
                <w:rFonts w:eastAsia="宋体"/>
                <w:b/>
                <w:i/>
                <w:iCs/>
                <w:kern w:val="2"/>
                <w:sz w:val="18"/>
                <w:szCs w:val="18"/>
              </w:rPr>
              <w:t>Note</w:t>
            </w: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widowControl w:val="0"/>
              <w:jc w:val="center"/>
              <w:rPr>
                <w:rFonts w:ascii="Arial" w:hAnsi="Arial" w:cs="Arial"/>
                <w:b/>
                <w:i/>
                <w:iCs/>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0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Enhanced RRM requirements for measurements in IDLE and INACTIVE modes</w:t>
            </w:r>
          </w:p>
        </w:tc>
        <w:tc>
          <w:tcPr>
            <w:tcW w:w="2877"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hint="eastAsia" w:eastAsia="宋体"/>
                <w:b/>
                <w:i/>
                <w:iCs/>
                <w:kern w:val="2"/>
                <w:sz w:val="18"/>
                <w:lang w:eastAsia="en-GB"/>
              </w:rPr>
              <w:t>Indicate the support of enhanced inter-frequency cell re-selection requirements for ATG (as specific in TS 38.133 Table 4.2D.2.4-2)</w:t>
            </w:r>
          </w:p>
        </w:tc>
        <w:tc>
          <w:tcPr>
            <w:tcW w:w="1738"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046"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962"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n/a</w:t>
            </w:r>
          </w:p>
        </w:tc>
        <w:tc>
          <w:tcPr>
            <w:tcW w:w="111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1085"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US"/>
              </w:rPr>
              <w:t>No</w:t>
            </w:r>
          </w:p>
        </w:tc>
        <w:tc>
          <w:tcPr>
            <w:tcW w:w="22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p>
        </w:tc>
        <w:tc>
          <w:tcPr>
            <w:tcW w:w="1446" w:type="dxa"/>
            <w:tcBorders>
              <w:top w:val="single" w:color="auto" w:sz="4" w:space="0"/>
              <w:left w:val="single" w:color="auto" w:sz="4" w:space="0"/>
              <w:bottom w:val="single" w:color="auto" w:sz="4" w:space="0"/>
              <w:right w:val="single" w:color="auto" w:sz="4" w:space="0"/>
            </w:tcBorders>
            <w:shd w:val="clear" w:color="auto" w:fill="auto"/>
          </w:tcPr>
          <w:p>
            <w:pPr>
              <w:keepNext/>
              <w:keepLines/>
              <w:rPr>
                <w:rFonts w:eastAsia="宋体"/>
                <w:b/>
                <w:i/>
                <w:iCs/>
                <w:kern w:val="2"/>
                <w:sz w:val="18"/>
                <w:lang w:eastAsia="en-GB"/>
              </w:rPr>
            </w:pPr>
            <w:r>
              <w:rPr>
                <w:rFonts w:eastAsia="宋体"/>
                <w:b/>
                <w:i/>
                <w:iCs/>
                <w:kern w:val="2"/>
                <w:sz w:val="18"/>
                <w:lang w:eastAsia="en-GB"/>
              </w:rPr>
              <w:t>Optional without capability signaling</w:t>
            </w:r>
          </w:p>
        </w:tc>
      </w:tr>
    </w:tbl>
    <w:p>
      <w:pPr>
        <w:tabs>
          <w:tab w:val="left" w:pos="1134"/>
        </w:tabs>
        <w:spacing w:before="60"/>
        <w:jc w:val="both"/>
        <w:rPr>
          <w:rFonts w:hint="default" w:eastAsia="等线"/>
          <w:b/>
          <w:bCs/>
          <w:i/>
          <w:iCs/>
          <w:sz w:val="20"/>
          <w:szCs w:val="20"/>
          <w:lang w:val="en-US" w:eastAsia="zh-CN"/>
        </w:rPr>
      </w:pPr>
      <w:r>
        <w:rPr>
          <w:rFonts w:hint="eastAsia" w:eastAsia="等线"/>
          <w:b/>
          <w:bCs/>
          <w:i/>
          <w:iCs/>
          <w:sz w:val="20"/>
          <w:szCs w:val="20"/>
          <w:lang w:val="en-US" w:eastAsia="zh-CN"/>
        </w:rPr>
        <w:t>Observation 1: In RAN4#108bis, RF session has agreed to introduce new capability of ATG UE to support different requirements.</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7"/>
        </w:numPr>
        <w:rPr>
          <w:sz w:val="20"/>
          <w:szCs w:val="20"/>
        </w:rPr>
      </w:pPr>
      <w:r>
        <w:rPr>
          <w:rFonts w:hint="eastAsia"/>
          <w:sz w:val="20"/>
          <w:szCs w:val="20"/>
          <w:lang w:val="en-GB"/>
        </w:rPr>
        <w:t>R1-2308531</w:t>
      </w:r>
      <w:r>
        <w:rPr>
          <w:rFonts w:hint="eastAsia"/>
          <w:sz w:val="20"/>
          <w:szCs w:val="20"/>
        </w:rPr>
        <w:t xml:space="preserve">, </w:t>
      </w:r>
      <w:r>
        <w:rPr>
          <w:rFonts w:hint="eastAsia"/>
          <w:sz w:val="20"/>
          <w:szCs w:val="20"/>
          <w:lang w:val="en-GB"/>
        </w:rPr>
        <w:t>Reply LS on UE features for NR ATG</w:t>
      </w:r>
      <w:r>
        <w:rPr>
          <w:rFonts w:hint="eastAsia"/>
          <w:sz w:val="20"/>
          <w:szCs w:val="20"/>
        </w:rPr>
        <w:t>, RAN1</w:t>
      </w:r>
    </w:p>
    <w:p>
      <w:pPr>
        <w:numPr>
          <w:ilvl w:val="0"/>
          <w:numId w:val="7"/>
        </w:numPr>
        <w:rPr>
          <w:sz w:val="20"/>
          <w:szCs w:val="20"/>
        </w:rPr>
      </w:pPr>
      <w:r>
        <w:rPr>
          <w:rFonts w:hint="eastAsia"/>
          <w:sz w:val="20"/>
          <w:szCs w:val="20"/>
        </w:rPr>
        <w:t>R4-2314307, WF on NR ATG RRM requirements, CMCC</w:t>
      </w:r>
    </w:p>
    <w:p>
      <w:pPr>
        <w:numPr>
          <w:ilvl w:val="0"/>
          <w:numId w:val="7"/>
        </w:numPr>
        <w:rPr>
          <w:sz w:val="20"/>
          <w:szCs w:val="20"/>
        </w:rPr>
      </w:pPr>
      <w:r>
        <w:rPr>
          <w:rFonts w:hint="eastAsia"/>
          <w:sz w:val="20"/>
          <w:szCs w:val="20"/>
          <w:lang w:val="en-US" w:eastAsia="zh-CN"/>
        </w:rPr>
        <w:t>R4-2317341, WF on RRM requirements for NR ATG, CMCC</w:t>
      </w:r>
    </w:p>
    <w:p>
      <w:pPr>
        <w:numPr>
          <w:ilvl w:val="0"/>
          <w:numId w:val="7"/>
        </w:numPr>
        <w:rPr>
          <w:sz w:val="20"/>
          <w:szCs w:val="20"/>
        </w:rPr>
      </w:pPr>
      <w:r>
        <w:rPr>
          <w:rFonts w:hint="eastAsia"/>
          <w:sz w:val="20"/>
          <w:szCs w:val="20"/>
          <w:lang w:val="en-US" w:eastAsia="zh-CN"/>
        </w:rPr>
        <w:t>R4-2317742, LS to RAN2 about ATG UE, CMCC</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bookmarkStart w:id="9" w:name="_Hlk134973178"/>
      <w:r>
        <w:rPr>
          <w:rFonts w:ascii="Times New Roman" w:hAnsi="Times New Roman"/>
          <w:b w:val="0"/>
          <w:bCs w:val="0"/>
          <w:kern w:val="0"/>
          <w:sz w:val="36"/>
          <w:szCs w:val="36"/>
          <w:lang w:val="en-GB"/>
        </w:rPr>
        <w:t>Appendix</w:t>
      </w:r>
    </w:p>
    <w:p>
      <w:pPr>
        <w:rPr>
          <w:rFonts w:eastAsia="Times New Roman" w:cs="Courier New"/>
          <w:sz w:val="20"/>
          <w:lang w:val="en-GB"/>
        </w:rPr>
      </w:pPr>
      <w:r>
        <w:rPr>
          <w:rFonts w:eastAsia="Times New Roman" w:cs="Courier New"/>
          <w:sz w:val="20"/>
          <w:lang w:val="en-GB"/>
        </w:rPr>
        <w:t xml:space="preserve">The draft LS to </w:t>
      </w:r>
      <w:r>
        <w:rPr>
          <w:rFonts w:hint="eastAsia" w:eastAsia="宋体" w:cs="Courier New"/>
          <w:sz w:val="20"/>
          <w:lang w:val="en-US" w:eastAsia="zh-CN"/>
        </w:rPr>
        <w:t xml:space="preserve">RAN1 and </w:t>
      </w:r>
      <w:r>
        <w:rPr>
          <w:rFonts w:eastAsia="Times New Roman" w:cs="Courier New"/>
          <w:sz w:val="20"/>
          <w:lang w:val="en-GB"/>
        </w:rPr>
        <w:t>RAN2 is captured below:</w:t>
      </w:r>
    </w:p>
    <w:p>
      <w:pPr>
        <w:tabs>
          <w:tab w:val="center" w:pos="4536"/>
          <w:tab w:val="right" w:pos="8280"/>
          <w:tab w:val="right" w:pos="9639"/>
        </w:tabs>
        <w:ind w:left="1440" w:right="2" w:hanging="1440"/>
        <w:rPr>
          <w:rFonts w:ascii="Arial" w:hAnsi="Arial" w:eastAsia="Batang" w:cs="Arial"/>
          <w:b/>
          <w:bCs/>
        </w:rPr>
      </w:pPr>
      <w:bookmarkStart w:id="10" w:name="_Hlk492190689"/>
      <w:r>
        <w:rPr>
          <w:rFonts w:ascii="Arial" w:hAnsi="Arial" w:eastAsia="Batang" w:cs="Arial"/>
          <w:b/>
          <w:bCs/>
        </w:rPr>
        <w:t>3GPP TSG RAN WG4 Meeting #10</w:t>
      </w:r>
      <w:r>
        <w:rPr>
          <w:rFonts w:hint="eastAsia" w:ascii="Arial" w:hAnsi="Arial" w:eastAsia="宋体" w:cs="Arial"/>
          <w:b/>
          <w:bCs/>
          <w:lang w:val="en-US" w:eastAsia="zh-CN"/>
        </w:rPr>
        <w:t>9</w:t>
      </w:r>
      <w:r>
        <w:rPr>
          <w:rFonts w:ascii="Arial" w:hAnsi="Arial" w:eastAsia="Batang" w:cs="Arial"/>
          <w:b/>
          <w:bCs/>
        </w:rPr>
        <w:tab/>
      </w:r>
      <w:r>
        <w:rPr>
          <w:rFonts w:ascii="Arial" w:hAnsi="Arial" w:eastAsia="Batang" w:cs="Arial"/>
          <w:b/>
          <w:bCs/>
        </w:rPr>
        <w:tab/>
      </w:r>
      <w:r>
        <w:rPr>
          <w:rFonts w:ascii="Arial" w:hAnsi="Arial" w:eastAsia="Batang" w:cs="Arial"/>
          <w:b/>
          <w:bCs/>
        </w:rPr>
        <w:t>R4-23XXXXX</w:t>
      </w:r>
    </w:p>
    <w:p>
      <w:pPr>
        <w:tabs>
          <w:tab w:val="center" w:pos="4536"/>
          <w:tab w:val="right" w:pos="9072"/>
        </w:tabs>
        <w:ind w:left="1440" w:hanging="1440"/>
        <w:rPr>
          <w:rFonts w:ascii="Arial" w:hAnsi="Arial" w:eastAsia="MS Mincho" w:cs="Arial"/>
          <w:b/>
          <w:bCs/>
          <w:lang w:eastAsia="ja-JP"/>
        </w:rPr>
      </w:pPr>
      <w:r>
        <w:rPr>
          <w:rFonts w:hint="eastAsia" w:ascii="Arial" w:hAnsi="Arial" w:eastAsia="MS Mincho" w:cs="Arial"/>
          <w:b/>
          <w:bCs/>
          <w:lang w:eastAsia="ja-JP"/>
        </w:rPr>
        <w:t>Chicago, US, November 13 – 17, 2023</w:t>
      </w:r>
    </w:p>
    <w:p>
      <w:pPr>
        <w:tabs>
          <w:tab w:val="left" w:pos="1701"/>
          <w:tab w:val="right" w:pos="9639"/>
        </w:tabs>
        <w:overflowPunct w:val="0"/>
        <w:autoSpaceDE w:val="0"/>
        <w:autoSpaceDN w:val="0"/>
        <w:adjustRightInd w:val="0"/>
        <w:spacing w:line="288" w:lineRule="auto"/>
        <w:textAlignment w:val="baseline"/>
        <w:rPr>
          <w:rFonts w:ascii="Arial" w:hAnsi="Arial" w:eastAsia="Times New Roman" w:cs="Arial"/>
          <w:b/>
          <w:sz w:val="22"/>
          <w:szCs w:val="20"/>
          <w:lang w:val="en-GB"/>
        </w:rPr>
      </w:pPr>
    </w:p>
    <w:bookmarkEnd w:id="10"/>
    <w:p>
      <w:pPr>
        <w:spacing w:after="60"/>
        <w:ind w:left="1985" w:hanging="1985"/>
        <w:rPr>
          <w:rFonts w:ascii="Arial" w:hAnsi="Arial" w:eastAsia="等线" w:cs="Arial"/>
          <w:sz w:val="20"/>
        </w:rPr>
      </w:pPr>
      <w:r>
        <w:rPr>
          <w:rFonts w:ascii="Arial" w:hAnsi="Arial" w:eastAsia="等线" w:cs="Arial"/>
          <w:b/>
          <w:sz w:val="20"/>
        </w:rPr>
        <w:t>Title:</w:t>
      </w:r>
      <w:r>
        <w:rPr>
          <w:rFonts w:ascii="Arial" w:hAnsi="Arial" w:eastAsia="等线" w:cs="Arial"/>
          <w:b/>
          <w:sz w:val="20"/>
        </w:rPr>
        <w:tab/>
      </w:r>
      <w:r>
        <w:rPr>
          <w:rFonts w:ascii="Arial" w:hAnsi="Arial" w:eastAsia="等线" w:cs="Arial"/>
          <w:sz w:val="20"/>
        </w:rPr>
        <w:t xml:space="preserve">LS on </w:t>
      </w:r>
      <w:r>
        <w:rPr>
          <w:rFonts w:hint="eastAsia" w:ascii="Arial" w:hAnsi="Arial" w:eastAsia="等线" w:cs="Arial"/>
          <w:sz w:val="20"/>
          <w:lang w:val="en-US" w:eastAsia="zh-CN"/>
        </w:rPr>
        <w:t>Layer-1/2/3 ATG UE features</w:t>
      </w:r>
    </w:p>
    <w:p>
      <w:pPr>
        <w:spacing w:after="60"/>
        <w:ind w:left="1985" w:hanging="1985"/>
        <w:rPr>
          <w:rFonts w:ascii="Arial" w:hAnsi="Arial" w:eastAsia="等线" w:cs="Arial"/>
          <w:bCs/>
          <w:sz w:val="20"/>
        </w:rPr>
      </w:pPr>
      <w:r>
        <w:rPr>
          <w:rFonts w:ascii="Arial" w:hAnsi="Arial" w:eastAsia="等线" w:cs="Arial"/>
          <w:b/>
          <w:sz w:val="20"/>
        </w:rPr>
        <w:t>Release:</w:t>
      </w:r>
      <w:r>
        <w:rPr>
          <w:rFonts w:ascii="Arial" w:hAnsi="Arial" w:eastAsia="等线" w:cs="Arial"/>
          <w:bCs/>
          <w:sz w:val="20"/>
        </w:rPr>
        <w:tab/>
      </w:r>
      <w:r>
        <w:rPr>
          <w:rFonts w:hint="eastAsia" w:ascii="Arial" w:hAnsi="Arial" w:eastAsia="等线" w:cs="Arial"/>
          <w:bCs/>
          <w:sz w:val="20"/>
        </w:rPr>
        <w:t>Rel-1</w:t>
      </w:r>
      <w:r>
        <w:rPr>
          <w:rFonts w:ascii="Arial" w:hAnsi="Arial" w:eastAsia="等线" w:cs="Arial"/>
          <w:bCs/>
          <w:sz w:val="20"/>
        </w:rPr>
        <w:t>8</w:t>
      </w:r>
    </w:p>
    <w:p>
      <w:pPr>
        <w:spacing w:after="60"/>
        <w:ind w:left="1985" w:hanging="1985"/>
        <w:rPr>
          <w:rFonts w:ascii="Arial" w:hAnsi="Arial" w:eastAsia="等线" w:cs="Arial"/>
          <w:bCs/>
          <w:sz w:val="20"/>
        </w:rPr>
      </w:pPr>
      <w:r>
        <w:rPr>
          <w:rFonts w:ascii="Arial" w:hAnsi="Arial" w:eastAsia="等线" w:cs="Arial"/>
          <w:b/>
          <w:sz w:val="20"/>
        </w:rPr>
        <w:t>Study Item:</w:t>
      </w:r>
      <w:r>
        <w:rPr>
          <w:rFonts w:ascii="Arial" w:hAnsi="Arial" w:eastAsia="等线" w:cs="Arial"/>
          <w:bCs/>
          <w:sz w:val="20"/>
        </w:rPr>
        <w:tab/>
      </w:r>
      <w:r>
        <w:rPr>
          <w:rFonts w:ascii="Arial" w:hAnsi="Arial" w:eastAsia="等线" w:cs="Arial"/>
          <w:bCs/>
          <w:sz w:val="20"/>
        </w:rPr>
        <w:t>NR_ATG</w:t>
      </w:r>
    </w:p>
    <w:p>
      <w:pPr>
        <w:spacing w:after="60"/>
        <w:ind w:left="1985" w:hanging="1985"/>
        <w:rPr>
          <w:rFonts w:ascii="Arial" w:hAnsi="Arial" w:eastAsia="等线" w:cs="Arial"/>
          <w:b/>
          <w:sz w:val="20"/>
        </w:rPr>
      </w:pPr>
    </w:p>
    <w:p>
      <w:pPr>
        <w:spacing w:after="60"/>
        <w:ind w:left="1985" w:hanging="1985"/>
        <w:rPr>
          <w:rFonts w:ascii="Arial" w:hAnsi="Arial" w:eastAsia="MS Mincho" w:cs="Arial"/>
          <w:bCs/>
          <w:sz w:val="20"/>
          <w:lang w:eastAsia="ja-JP"/>
        </w:rPr>
      </w:pPr>
      <w:r>
        <w:rPr>
          <w:rFonts w:ascii="Arial" w:hAnsi="Arial" w:eastAsia="等线" w:cs="Arial"/>
          <w:b/>
          <w:sz w:val="20"/>
        </w:rPr>
        <w:t>Source:</w:t>
      </w:r>
      <w:r>
        <w:rPr>
          <w:rFonts w:ascii="Arial" w:hAnsi="Arial" w:eastAsia="等线" w:cs="Arial"/>
          <w:bCs/>
          <w:color w:val="FF0000"/>
          <w:sz w:val="20"/>
        </w:rPr>
        <w:tab/>
      </w:r>
      <w:r>
        <w:rPr>
          <w:rFonts w:ascii="Arial" w:hAnsi="Arial" w:eastAsia="MS Mincho" w:cs="Arial"/>
          <w:bCs/>
          <w:sz w:val="20"/>
          <w:lang w:eastAsia="ja-JP"/>
        </w:rPr>
        <w:t>TSG RAN WG4</w:t>
      </w:r>
    </w:p>
    <w:p>
      <w:pPr>
        <w:spacing w:after="60"/>
        <w:ind w:left="1985" w:hanging="1985"/>
        <w:rPr>
          <w:rFonts w:hint="default" w:ascii="Arial" w:hAnsi="Arial" w:eastAsia="宋体" w:cs="Arial"/>
          <w:bCs/>
          <w:sz w:val="20"/>
          <w:lang w:val="en-US" w:eastAsia="zh-CN"/>
        </w:rPr>
      </w:pPr>
      <w:r>
        <w:rPr>
          <w:rFonts w:ascii="Arial" w:hAnsi="Arial" w:eastAsia="等线" w:cs="Arial"/>
          <w:b/>
          <w:sz w:val="20"/>
        </w:rPr>
        <w:t>To:</w:t>
      </w:r>
      <w:r>
        <w:rPr>
          <w:rFonts w:ascii="Arial" w:hAnsi="Arial" w:eastAsia="等线" w:cs="Arial"/>
          <w:bCs/>
          <w:sz w:val="20"/>
        </w:rPr>
        <w:tab/>
      </w:r>
      <w:r>
        <w:rPr>
          <w:rFonts w:hint="eastAsia" w:ascii="Arial" w:hAnsi="Arial" w:eastAsia="宋体" w:cs="Arial"/>
          <w:bCs/>
          <w:sz w:val="20"/>
          <w:lang w:val="en-US" w:eastAsia="zh-CN"/>
        </w:rPr>
        <w:t xml:space="preserve">TSG RAN WG1, </w:t>
      </w:r>
      <w:r>
        <w:rPr>
          <w:rFonts w:ascii="Arial" w:hAnsi="Arial" w:eastAsia="等线" w:cs="Arial"/>
          <w:bCs/>
          <w:sz w:val="20"/>
        </w:rPr>
        <w:t xml:space="preserve">TSG </w:t>
      </w:r>
      <w:r>
        <w:rPr>
          <w:rFonts w:ascii="Arial" w:hAnsi="Arial" w:eastAsia="MS Mincho" w:cs="Arial"/>
          <w:bCs/>
          <w:sz w:val="20"/>
          <w:lang w:eastAsia="ja-JP"/>
        </w:rPr>
        <w:t>RAN WG2</w:t>
      </w:r>
    </w:p>
    <w:p>
      <w:pPr>
        <w:spacing w:after="60"/>
        <w:ind w:left="1985" w:hanging="1985"/>
        <w:rPr>
          <w:rFonts w:ascii="Arial" w:hAnsi="Arial" w:eastAsia="等线" w:cs="Arial"/>
          <w:bCs/>
          <w:sz w:val="20"/>
        </w:rPr>
      </w:pPr>
      <w:r>
        <w:rPr>
          <w:rFonts w:ascii="Arial" w:hAnsi="Arial" w:eastAsia="等线" w:cs="Arial"/>
          <w:b/>
          <w:sz w:val="20"/>
        </w:rPr>
        <w:t>Cc:</w:t>
      </w:r>
      <w:r>
        <w:rPr>
          <w:rFonts w:ascii="Arial" w:hAnsi="Arial" w:eastAsia="等线" w:cs="Arial"/>
          <w:bCs/>
          <w:sz w:val="20"/>
        </w:rPr>
        <w:tab/>
      </w:r>
    </w:p>
    <w:p>
      <w:pPr>
        <w:spacing w:after="60"/>
        <w:ind w:left="1985" w:hanging="1985"/>
        <w:rPr>
          <w:rFonts w:ascii="Arial" w:hAnsi="Arial" w:eastAsia="等线" w:cs="Arial"/>
          <w:bCs/>
          <w:sz w:val="20"/>
        </w:rPr>
      </w:pPr>
    </w:p>
    <w:p>
      <w:pPr>
        <w:tabs>
          <w:tab w:val="left" w:pos="2268"/>
        </w:tabs>
        <w:rPr>
          <w:rFonts w:ascii="Arial" w:hAnsi="Arial" w:eastAsia="等线" w:cs="Arial"/>
          <w:b/>
          <w:sz w:val="20"/>
        </w:rPr>
      </w:pPr>
      <w:r>
        <w:rPr>
          <w:rFonts w:ascii="Arial" w:hAnsi="Arial" w:eastAsia="等线" w:cs="Arial"/>
          <w:b/>
          <w:sz w:val="20"/>
        </w:rPr>
        <w:t>Contact Person:</w:t>
      </w:r>
    </w:p>
    <w:p>
      <w:pPr>
        <w:keepNext/>
        <w:tabs>
          <w:tab w:val="left" w:pos="2268"/>
          <w:tab w:val="left" w:pos="2694"/>
        </w:tabs>
        <w:ind w:left="567"/>
        <w:outlineLvl w:val="3"/>
        <w:rPr>
          <w:rFonts w:ascii="Arial" w:hAnsi="Arial" w:eastAsia="宋体" w:cs="Arial"/>
          <w:bCs/>
          <w:sz w:val="20"/>
          <w:szCs w:val="20"/>
          <w:lang w:val="en-GB" w:eastAsia="en-US"/>
        </w:rPr>
      </w:pPr>
      <w:r>
        <w:rPr>
          <w:rFonts w:ascii="Arial" w:hAnsi="Arial" w:eastAsia="宋体" w:cs="Arial"/>
          <w:b/>
          <w:sz w:val="20"/>
          <w:szCs w:val="20"/>
          <w:lang w:val="en-GB" w:eastAsia="en-US"/>
        </w:rPr>
        <w:t>Name:</w:t>
      </w:r>
      <w:r>
        <w:rPr>
          <w:rFonts w:ascii="Arial" w:hAnsi="Arial" w:eastAsia="宋体" w:cs="Arial"/>
          <w:bCs/>
          <w:sz w:val="20"/>
          <w:szCs w:val="20"/>
          <w:lang w:val="en-GB" w:eastAsia="en-US"/>
        </w:rPr>
        <w:tab/>
      </w:r>
      <w:r>
        <w:rPr>
          <w:rFonts w:ascii="Arial" w:hAnsi="Arial" w:eastAsia="宋体" w:cs="Arial"/>
          <w:bCs/>
          <w:sz w:val="20"/>
          <w:szCs w:val="20"/>
          <w:lang w:val="en-GB" w:eastAsia="en-US"/>
        </w:rPr>
        <w:t>Shiyuan Wang</w:t>
      </w:r>
    </w:p>
    <w:p>
      <w:pPr>
        <w:keepNext/>
        <w:tabs>
          <w:tab w:val="left" w:pos="2268"/>
          <w:tab w:val="left" w:pos="2694"/>
        </w:tabs>
        <w:ind w:left="567"/>
        <w:outlineLvl w:val="6"/>
        <w:rPr>
          <w:rFonts w:ascii="Arial" w:hAnsi="Arial" w:eastAsia="宋体" w:cs="Arial"/>
          <w:bCs/>
          <w:sz w:val="20"/>
          <w:szCs w:val="20"/>
          <w:lang w:val="en-GB" w:eastAsia="en-US"/>
        </w:rPr>
      </w:pPr>
      <w:r>
        <w:rPr>
          <w:rFonts w:ascii="Arial" w:hAnsi="Arial" w:eastAsia="宋体" w:cs="Arial"/>
          <w:b/>
          <w:sz w:val="20"/>
          <w:szCs w:val="20"/>
          <w:lang w:val="en-GB" w:eastAsia="en-US"/>
        </w:rPr>
        <w:t>E-mail Address:</w:t>
      </w:r>
      <w:r>
        <w:rPr>
          <w:rFonts w:ascii="Arial" w:hAnsi="Arial" w:eastAsia="宋体" w:cs="Arial"/>
          <w:bCs/>
          <w:sz w:val="20"/>
          <w:szCs w:val="20"/>
          <w:lang w:val="en-GB" w:eastAsia="en-US"/>
        </w:rPr>
        <w:tab/>
      </w:r>
      <w:r>
        <w:fldChar w:fldCharType="begin"/>
      </w:r>
      <w:r>
        <w:instrText xml:space="preserve"> HYPERLINK "mailto:wangshiyuan@chinamobile.com" </w:instrText>
      </w:r>
      <w:r>
        <w:fldChar w:fldCharType="separate"/>
      </w:r>
      <w:r>
        <w:rPr>
          <w:rFonts w:ascii="Arial" w:hAnsi="Arial" w:eastAsia="宋体" w:cs="Arial"/>
          <w:bCs/>
          <w:color w:val="0000FF"/>
          <w:sz w:val="20"/>
          <w:szCs w:val="20"/>
          <w:u w:val="single"/>
          <w:lang w:val="en-GB" w:eastAsia="en-US"/>
        </w:rPr>
        <w:t>wangshiyuan@chinamobile.com</w:t>
      </w:r>
      <w:r>
        <w:rPr>
          <w:rFonts w:ascii="Arial" w:hAnsi="Arial" w:eastAsia="宋体" w:cs="Arial"/>
          <w:bCs/>
          <w:color w:val="0000FF"/>
          <w:sz w:val="20"/>
          <w:szCs w:val="20"/>
          <w:u w:val="single"/>
          <w:lang w:val="en-GB" w:eastAsia="en-US"/>
        </w:rPr>
        <w:fldChar w:fldCharType="end"/>
      </w:r>
    </w:p>
    <w:p>
      <w:pPr>
        <w:tabs>
          <w:tab w:val="left" w:pos="2268"/>
        </w:tabs>
        <w:rPr>
          <w:rFonts w:ascii="Arial" w:hAnsi="Arial" w:eastAsia="等线" w:cs="Arial"/>
          <w:bCs/>
          <w:sz w:val="20"/>
        </w:rPr>
      </w:pPr>
      <w:r>
        <w:rPr>
          <w:rFonts w:ascii="Arial" w:hAnsi="Arial" w:eastAsia="等线" w:cs="Arial"/>
          <w:bCs/>
          <w:sz w:val="20"/>
        </w:rPr>
        <w:tab/>
      </w:r>
    </w:p>
    <w:p>
      <w:pPr>
        <w:pBdr>
          <w:bottom w:val="single" w:color="auto" w:sz="4" w:space="1"/>
        </w:pBdr>
        <w:rPr>
          <w:rFonts w:ascii="Arial" w:hAnsi="Arial" w:eastAsia="等线" w:cs="Arial"/>
          <w:sz w:val="20"/>
        </w:rPr>
      </w:pPr>
    </w:p>
    <w:p>
      <w:pPr>
        <w:pBdr>
          <w:bottom w:val="single" w:color="auto" w:sz="4" w:space="1"/>
        </w:pBdr>
        <w:rPr>
          <w:rFonts w:ascii="Arial" w:hAnsi="Arial" w:eastAsia="等线" w:cs="Arial"/>
          <w:sz w:val="20"/>
        </w:rPr>
      </w:pPr>
      <w:r>
        <w:rPr>
          <w:rFonts w:hint="eastAsia" w:ascii="Arial" w:hAnsi="Arial" w:eastAsia="等线" w:cs="Arial"/>
          <w:b/>
          <w:bCs/>
          <w:sz w:val="20"/>
        </w:rPr>
        <w:t>A</w:t>
      </w:r>
      <w:r>
        <w:rPr>
          <w:rFonts w:ascii="Arial" w:hAnsi="Arial" w:eastAsia="等线" w:cs="Arial"/>
          <w:b/>
          <w:bCs/>
          <w:sz w:val="20"/>
        </w:rPr>
        <w:t>ttachments:</w:t>
      </w:r>
      <w:r>
        <w:rPr>
          <w:rFonts w:ascii="Arial" w:hAnsi="Arial" w:eastAsia="等线" w:cs="Arial"/>
          <w:sz w:val="20"/>
        </w:rPr>
        <w:t xml:space="preserve"> None</w:t>
      </w:r>
    </w:p>
    <w:p>
      <w:pPr>
        <w:rPr>
          <w:rFonts w:ascii="Arial" w:hAnsi="Arial" w:eastAsia="等线" w:cs="Arial"/>
          <w:sz w:val="20"/>
        </w:rPr>
      </w:pPr>
    </w:p>
    <w:p>
      <w:pPr>
        <w:spacing w:after="120"/>
        <w:rPr>
          <w:rFonts w:ascii="Arial" w:hAnsi="Arial" w:eastAsia="等线" w:cs="Arial"/>
          <w:b/>
          <w:sz w:val="20"/>
        </w:rPr>
      </w:pPr>
      <w:r>
        <w:rPr>
          <w:rFonts w:ascii="Arial" w:hAnsi="Arial" w:eastAsia="等线" w:cs="Arial"/>
          <w:b/>
          <w:sz w:val="20"/>
        </w:rPr>
        <w:t>1. Overall Description:</w:t>
      </w:r>
    </w:p>
    <w:p>
      <w:pPr>
        <w:spacing w:after="312" w:afterLines="100"/>
        <w:jc w:val="both"/>
        <w:rPr>
          <w:rFonts w:hint="eastAsia" w:ascii="Arial" w:hAnsi="Arial" w:eastAsia="等线" w:cs="Arial"/>
          <w:sz w:val="20"/>
        </w:rPr>
      </w:pPr>
      <w:r>
        <w:rPr>
          <w:rFonts w:hint="eastAsia" w:ascii="Arial" w:hAnsi="Arial" w:eastAsia="等线" w:cs="Arial"/>
          <w:sz w:val="20"/>
          <w:lang w:val="en-US" w:eastAsia="zh-CN"/>
        </w:rPr>
        <w:t>In the reply LS R1-2308531, RAN1 mentioned that</w:t>
      </w:r>
      <w:r>
        <w:rPr>
          <w:rFonts w:hint="eastAsia" w:ascii="Arial" w:hAnsi="Arial" w:eastAsia="等线" w:cs="Arial"/>
          <w:sz w:val="20"/>
        </w:rPr>
        <w:t xml:space="preserve"> RAN1 has not discussed other UE features from Rel-17/18 NTN, e.g. Koffset (FG26-1), TA reporting (FG 26-4) and UE-specific koffset (26-9), which can be considered in the future discussions of new ATG UE features. </w:t>
      </w:r>
    </w:p>
    <w:p>
      <w:pPr>
        <w:spacing w:after="312" w:afterLines="100"/>
        <w:jc w:val="both"/>
        <w:rPr>
          <w:rFonts w:hint="default" w:ascii="Arial" w:hAnsi="Arial" w:eastAsia="等线" w:cs="Arial"/>
          <w:sz w:val="20"/>
          <w:lang w:val="en-US" w:eastAsia="zh-CN"/>
        </w:rPr>
      </w:pPr>
      <w:r>
        <w:rPr>
          <w:rFonts w:hint="eastAsia" w:ascii="Arial" w:hAnsi="Arial" w:eastAsia="等线" w:cs="Arial"/>
          <w:sz w:val="20"/>
          <w:lang w:val="en-US" w:eastAsia="zh-CN"/>
        </w:rPr>
        <w:t>After the discussion of new ATG UE features in RAN4, RAN4 agreed following Layer-1/2/3 features should be introduced as new ATG UE features.</w:t>
      </w:r>
    </w:p>
    <w:p>
      <w:pPr>
        <w:autoSpaceDE w:val="0"/>
        <w:autoSpaceDN w:val="0"/>
        <w:snapToGrid w:val="0"/>
        <w:spacing w:after="312" w:afterLines="100"/>
        <w:contextualSpacing/>
        <w:jc w:val="both"/>
        <w:rPr>
          <w:rFonts w:eastAsia="等线" w:cs="Courier New"/>
          <w:sz w:val="20"/>
        </w:rPr>
      </w:pPr>
    </w:p>
    <w:p>
      <w:pPr>
        <w:tabs>
          <w:tab w:val="left" w:pos="1134"/>
        </w:tabs>
        <w:spacing w:before="156" w:beforeLines="50" w:after="180"/>
        <w:jc w:val="both"/>
        <w:rPr>
          <w:rFonts w:ascii="Arial" w:hAnsi="Arial" w:eastAsia="等线" w:cs="Arial"/>
          <w:iCs/>
          <w:sz w:val="20"/>
        </w:rPr>
      </w:pPr>
      <w:r>
        <w:rPr>
          <w:rFonts w:hint="eastAsia" w:ascii="Arial" w:hAnsi="Arial" w:eastAsia="等线" w:cs="Arial"/>
          <w:b/>
          <w:bCs/>
          <w:iCs/>
          <w:sz w:val="20"/>
        </w:rPr>
        <w:t>[</w:t>
      </w:r>
      <w:r>
        <w:rPr>
          <w:rFonts w:ascii="Arial" w:hAnsi="Arial" w:eastAsia="等线" w:cs="Arial"/>
          <w:b/>
          <w:bCs/>
          <w:iCs/>
          <w:sz w:val="20"/>
        </w:rPr>
        <w:t>RAN4]</w:t>
      </w:r>
      <w:r>
        <w:rPr>
          <w:rFonts w:ascii="Arial" w:hAnsi="Arial" w:eastAsia="等线" w:cs="Arial"/>
          <w:iCs/>
          <w:sz w:val="20"/>
        </w:rPr>
        <w:t xml:space="preserve"> </w:t>
      </w:r>
    </w:p>
    <w:p>
      <w:pPr>
        <w:tabs>
          <w:tab w:val="left" w:pos="1134"/>
        </w:tabs>
        <w:spacing w:before="156" w:beforeLines="50" w:after="180"/>
        <w:jc w:val="both"/>
        <w:rPr>
          <w:rFonts w:hint="eastAsia" w:ascii="Arial" w:hAnsi="Arial" w:eastAsia="等线" w:cs="Arial"/>
          <w:iCs/>
          <w:sz w:val="20"/>
          <w:lang w:val="en-US" w:eastAsia="zh-CN"/>
        </w:rPr>
      </w:pPr>
      <w:r>
        <w:rPr>
          <w:rFonts w:hint="eastAsia" w:ascii="Arial" w:hAnsi="Arial" w:eastAsia="等线" w:cs="Arial"/>
          <w:iCs/>
          <w:sz w:val="20"/>
          <w:lang w:val="en-US" w:eastAsia="zh-CN"/>
        </w:rPr>
        <w:t>Following Layer-1 new ATG UE features should be introduced.</w:t>
      </w:r>
    </w:p>
    <w:tbl>
      <w:tblPr>
        <w:tblStyle w:val="19"/>
        <w:tblW w:w="13927" w:type="dxa"/>
        <w:tblInd w:w="1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3620"/>
        <w:gridCol w:w="1006"/>
        <w:gridCol w:w="1040"/>
        <w:gridCol w:w="927"/>
        <w:gridCol w:w="1113"/>
        <w:gridCol w:w="1087"/>
        <w:gridCol w:w="2267"/>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Pr>
          <w:p>
            <w:pPr>
              <w:keepNext/>
              <w:keepLines/>
              <w:widowControl w:val="0"/>
              <w:jc w:val="center"/>
              <w:rPr>
                <w:rFonts w:eastAsia="宋体"/>
                <w:b/>
                <w:i/>
                <w:iCs/>
                <w:kern w:val="2"/>
                <w:sz w:val="18"/>
                <w:szCs w:val="18"/>
              </w:rPr>
            </w:pPr>
            <w:r>
              <w:rPr>
                <w:rFonts w:eastAsia="宋体"/>
                <w:b/>
                <w:i/>
                <w:iCs/>
                <w:kern w:val="2"/>
                <w:sz w:val="18"/>
                <w:szCs w:val="18"/>
              </w:rPr>
              <w:t>Feature group</w:t>
            </w:r>
          </w:p>
        </w:tc>
        <w:tc>
          <w:tcPr>
            <w:tcW w:w="3620" w:type="dxa"/>
          </w:tcPr>
          <w:p>
            <w:pPr>
              <w:keepNext/>
              <w:keepLines/>
              <w:widowControl w:val="0"/>
              <w:jc w:val="center"/>
              <w:rPr>
                <w:rFonts w:eastAsia="宋体"/>
                <w:b/>
                <w:i/>
                <w:iCs/>
                <w:kern w:val="2"/>
                <w:sz w:val="18"/>
                <w:szCs w:val="18"/>
              </w:rPr>
            </w:pPr>
            <w:r>
              <w:rPr>
                <w:rFonts w:eastAsia="宋体"/>
                <w:b/>
                <w:i/>
                <w:iCs/>
                <w:kern w:val="2"/>
                <w:sz w:val="18"/>
                <w:szCs w:val="18"/>
              </w:rPr>
              <w:t>Components</w:t>
            </w:r>
          </w:p>
        </w:tc>
        <w:tc>
          <w:tcPr>
            <w:tcW w:w="1006" w:type="dxa"/>
          </w:tcPr>
          <w:p>
            <w:pPr>
              <w:keepNext/>
              <w:keepLines/>
              <w:widowControl w:val="0"/>
              <w:jc w:val="center"/>
              <w:rPr>
                <w:rFonts w:eastAsia="宋体"/>
                <w:b/>
                <w:i/>
                <w:iCs/>
                <w:kern w:val="2"/>
                <w:sz w:val="18"/>
                <w:szCs w:val="18"/>
              </w:rPr>
            </w:pPr>
            <w:r>
              <w:rPr>
                <w:rFonts w:eastAsia="宋体"/>
                <w:b/>
                <w:i/>
                <w:iCs/>
                <w:kern w:val="2"/>
                <w:sz w:val="18"/>
                <w:szCs w:val="18"/>
              </w:rPr>
              <w:t>Prerequisite feature groups</w:t>
            </w:r>
          </w:p>
        </w:tc>
        <w:tc>
          <w:tcPr>
            <w:tcW w:w="1040" w:type="dxa"/>
          </w:tcPr>
          <w:p>
            <w:pPr>
              <w:keepNext/>
              <w:keepLines/>
              <w:widowControl w:val="0"/>
              <w:jc w:val="center"/>
              <w:rPr>
                <w:rFonts w:eastAsia="宋体"/>
                <w:b/>
                <w:i/>
                <w:iCs/>
                <w:kern w:val="2"/>
                <w:sz w:val="18"/>
                <w:szCs w:val="18"/>
              </w:rPr>
            </w:pPr>
            <w:r>
              <w:rPr>
                <w:rFonts w:eastAsia="宋体"/>
                <w:b/>
                <w:i/>
                <w:iCs/>
                <w:kern w:val="2"/>
                <w:sz w:val="18"/>
                <w:szCs w:val="18"/>
              </w:rPr>
              <w:t>Field name in TS 38.331 [2]</w:t>
            </w:r>
          </w:p>
        </w:tc>
        <w:tc>
          <w:tcPr>
            <w:tcW w:w="927" w:type="dxa"/>
          </w:tcPr>
          <w:p>
            <w:pPr>
              <w:keepNext/>
              <w:keepLines/>
              <w:widowControl w:val="0"/>
              <w:jc w:val="center"/>
              <w:rPr>
                <w:rFonts w:eastAsia="宋体"/>
                <w:b/>
                <w:i/>
                <w:iCs/>
                <w:kern w:val="2"/>
                <w:sz w:val="18"/>
                <w:szCs w:val="18"/>
              </w:rPr>
            </w:pPr>
            <w:r>
              <w:rPr>
                <w:rFonts w:eastAsia="宋体"/>
                <w:b/>
                <w:i/>
                <w:iCs/>
                <w:kern w:val="2"/>
                <w:sz w:val="18"/>
                <w:szCs w:val="18"/>
              </w:rPr>
              <w:t>Parent IE in TS 38.331 [2]</w:t>
            </w:r>
          </w:p>
        </w:tc>
        <w:tc>
          <w:tcPr>
            <w:tcW w:w="1113" w:type="dxa"/>
          </w:tcPr>
          <w:p>
            <w:pPr>
              <w:keepNext/>
              <w:keepLines/>
              <w:widowControl w:val="0"/>
              <w:jc w:val="center"/>
              <w:rPr>
                <w:rFonts w:eastAsia="宋体"/>
                <w:b/>
                <w:i/>
                <w:iCs/>
                <w:kern w:val="2"/>
                <w:sz w:val="18"/>
                <w:szCs w:val="18"/>
              </w:rPr>
            </w:pPr>
            <w:r>
              <w:rPr>
                <w:rFonts w:eastAsia="宋体"/>
                <w:b/>
                <w:i/>
                <w:iCs/>
                <w:kern w:val="2"/>
                <w:sz w:val="18"/>
                <w:szCs w:val="18"/>
              </w:rPr>
              <w:t>Need of FDD/TDD differentiation</w:t>
            </w:r>
          </w:p>
        </w:tc>
        <w:tc>
          <w:tcPr>
            <w:tcW w:w="1087" w:type="dxa"/>
          </w:tcPr>
          <w:p>
            <w:pPr>
              <w:keepNext/>
              <w:keepLines/>
              <w:widowControl w:val="0"/>
              <w:jc w:val="center"/>
              <w:rPr>
                <w:rFonts w:eastAsia="宋体"/>
                <w:b/>
                <w:i/>
                <w:iCs/>
                <w:kern w:val="2"/>
                <w:sz w:val="18"/>
                <w:szCs w:val="18"/>
              </w:rPr>
            </w:pPr>
            <w:r>
              <w:rPr>
                <w:rFonts w:eastAsia="宋体"/>
                <w:b/>
                <w:i/>
                <w:iCs/>
                <w:kern w:val="2"/>
                <w:sz w:val="18"/>
                <w:szCs w:val="18"/>
              </w:rPr>
              <w:t>Need of FR1/FR2 differentiation</w:t>
            </w:r>
          </w:p>
        </w:tc>
        <w:tc>
          <w:tcPr>
            <w:tcW w:w="2267" w:type="dxa"/>
          </w:tcPr>
          <w:p>
            <w:pPr>
              <w:keepNext/>
              <w:keepLines/>
              <w:widowControl w:val="0"/>
              <w:jc w:val="center"/>
              <w:rPr>
                <w:rFonts w:eastAsia="宋体"/>
                <w:b/>
                <w:i/>
                <w:iCs/>
                <w:kern w:val="2"/>
                <w:sz w:val="18"/>
                <w:szCs w:val="18"/>
              </w:rPr>
            </w:pPr>
            <w:r>
              <w:rPr>
                <w:rFonts w:eastAsia="宋体"/>
                <w:b/>
                <w:i/>
                <w:iCs/>
                <w:kern w:val="2"/>
                <w:sz w:val="18"/>
                <w:szCs w:val="18"/>
              </w:rPr>
              <w:t>Note</w:t>
            </w:r>
          </w:p>
        </w:tc>
        <w:tc>
          <w:tcPr>
            <w:tcW w:w="1440" w:type="dxa"/>
          </w:tcPr>
          <w:p>
            <w:pPr>
              <w:keepNext/>
              <w:keepLines/>
              <w:widowControl w:val="0"/>
              <w:jc w:val="center"/>
              <w:rPr>
                <w:rFonts w:eastAsia="宋体"/>
                <w:b/>
                <w:i/>
                <w:iCs/>
                <w:kern w:val="2"/>
                <w:sz w:val="18"/>
                <w:szCs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Uplink Time and Frequency pre-compensation and timing relationship enhancements</w:t>
            </w:r>
          </w:p>
        </w:tc>
        <w:tc>
          <w:tcPr>
            <w:tcW w:w="362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Support of UE specific TA calculation based on its GNSS-acquired position and the  indicated BS location.</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For TA update in RRC_CONNECTED state, support of combination of both open (i.e. UE autonomous TA estimation) and closed (i.e., received TA commands) control loops</w:t>
            </w:r>
            <w:r>
              <w:rPr>
                <w:rFonts w:hint="eastAsia" w:eastAsia="宋体"/>
                <w:b/>
                <w:i/>
                <w:iCs/>
                <w:kern w:val="2"/>
                <w:sz w:val="18"/>
                <w:szCs w:val="18"/>
                <w:lang w:val="en-US" w:eastAsia="zh-CN"/>
              </w:rPr>
              <w:t>.</w:t>
            </w:r>
          </w:p>
          <w:p>
            <w:pPr>
              <w:keepNext/>
              <w:keepLines/>
              <w:widowControl w:val="0"/>
              <w:jc w:val="both"/>
              <w:rPr>
                <w:rFonts w:eastAsia="宋体"/>
                <w:b/>
                <w:i/>
                <w:iCs/>
                <w:kern w:val="2"/>
                <w:sz w:val="18"/>
                <w:szCs w:val="18"/>
              </w:rPr>
            </w:pPr>
            <w:r>
              <w:rPr>
                <w:rFonts w:eastAsia="宋体"/>
                <w:b/>
                <w:i/>
                <w:iCs/>
                <w:kern w:val="2"/>
                <w:sz w:val="18"/>
                <w:szCs w:val="18"/>
              </w:rPr>
              <w:t>Support of pre-compensation of the calculated TA in its uplink transmissions</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frequency pre-compensation to counter shift the Doppler experienced on the service link</w:t>
            </w:r>
            <w:r>
              <w:rPr>
                <w:rFonts w:hint="eastAsia" w:eastAsia="宋体"/>
                <w:b/>
                <w:i/>
                <w:iCs/>
                <w:kern w:val="2"/>
                <w:sz w:val="18"/>
                <w:szCs w:val="18"/>
                <w:lang w:val="en-US" w:eastAsia="zh-CN"/>
              </w:rPr>
              <w:t>.</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determining timing of the scheduling of PUSCH, PUCCH and PDCCH ordered PRACH, CSI reference resource, transmission of aperiodic SRS activation of TA command, first PUSCH transmission in CG Type 2 with cell-specific K_offset if indicated</w:t>
            </w:r>
            <w:r>
              <w:rPr>
                <w:rFonts w:hint="eastAsia" w:eastAsia="宋体"/>
                <w:b/>
                <w:i/>
                <w:iCs/>
                <w:kern w:val="2"/>
                <w:sz w:val="18"/>
                <w:szCs w:val="18"/>
                <w:lang w:val="en-US" w:eastAsia="zh-CN"/>
              </w:rPr>
              <w:t>.</w:t>
            </w:r>
          </w:p>
          <w:p>
            <w:pPr>
              <w:keepNext/>
              <w:keepLines/>
              <w:widowControl w:val="0"/>
              <w:jc w:val="both"/>
              <w:rPr>
                <w:rFonts w:hint="eastAsia" w:eastAsia="宋体"/>
                <w:b/>
                <w:i/>
                <w:iCs/>
                <w:kern w:val="2"/>
                <w:sz w:val="18"/>
                <w:szCs w:val="18"/>
                <w:lang w:val="en-US" w:eastAsia="zh-CN"/>
              </w:rPr>
            </w:pPr>
            <w:r>
              <w:rPr>
                <w:rFonts w:eastAsia="宋体"/>
                <w:b/>
                <w:i/>
                <w:iCs/>
                <w:kern w:val="2"/>
                <w:sz w:val="18"/>
                <w:szCs w:val="18"/>
              </w:rPr>
              <w:t>Support of UE receiving cell-specific K_offset in system information</w:t>
            </w:r>
            <w:r>
              <w:rPr>
                <w:rFonts w:hint="eastAsia" w:eastAsia="宋体"/>
                <w:b/>
                <w:i/>
                <w:iCs/>
                <w:kern w:val="2"/>
                <w:sz w:val="18"/>
                <w:szCs w:val="18"/>
                <w:lang w:val="en-US" w:eastAsia="zh-CN"/>
              </w:rPr>
              <w:t>.</w:t>
            </w:r>
          </w:p>
        </w:tc>
        <w:tc>
          <w:tcPr>
            <w:tcW w:w="100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p>
        </w:tc>
        <w:tc>
          <w:tcPr>
            <w:tcW w:w="10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TBD</w:t>
            </w:r>
          </w:p>
        </w:tc>
        <w:tc>
          <w:tcPr>
            <w:tcW w:w="92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lang w:eastAsia="en-GB"/>
              </w:rPr>
              <w:t>BandNR</w:t>
            </w:r>
          </w:p>
        </w:tc>
        <w:tc>
          <w:tcPr>
            <w:tcW w:w="11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108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No</w:t>
            </w:r>
          </w:p>
        </w:tc>
        <w:tc>
          <w:tcPr>
            <w:tcW w:w="226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An ATG UE is required to at least support UE specific TA and frequency calculation based at least on its GNSS-acquired position and the indicated BS location</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Note: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i/>
                <w:iCs/>
                <w:kern w:val="2"/>
                <w:sz w:val="18"/>
                <w:szCs w:val="18"/>
              </w:rPr>
            </w:pPr>
            <w:r>
              <w:rPr>
                <w:rFonts w:eastAsia="宋体"/>
                <w:b/>
                <w:i/>
                <w:iCs/>
                <w:kern w:val="2"/>
                <w:sz w:val="18"/>
                <w:szCs w:val="18"/>
              </w:rPr>
              <w:t>Optional with capability signalling</w:t>
            </w:r>
          </w:p>
          <w:p>
            <w:pPr>
              <w:keepNext/>
              <w:keepLines/>
              <w:widowControl w:val="0"/>
              <w:jc w:val="both"/>
              <w:rPr>
                <w:rFonts w:eastAsia="宋体"/>
                <w:b/>
                <w:i/>
                <w:iCs/>
                <w:kern w:val="2"/>
                <w:sz w:val="18"/>
                <w:szCs w:val="18"/>
              </w:rPr>
            </w:pPr>
          </w:p>
          <w:p>
            <w:pPr>
              <w:keepNext/>
              <w:keepLines/>
              <w:widowControl w:val="0"/>
              <w:jc w:val="both"/>
              <w:rPr>
                <w:rFonts w:eastAsia="宋体"/>
                <w:b/>
                <w:i/>
                <w:iCs/>
                <w:kern w:val="2"/>
                <w:sz w:val="18"/>
                <w:szCs w:val="18"/>
              </w:rPr>
            </w:pPr>
            <w:r>
              <w:rPr>
                <w:rFonts w:eastAsia="宋体"/>
                <w:b/>
                <w:i/>
                <w:iCs/>
                <w:kern w:val="2"/>
                <w:sz w:val="18"/>
                <w:szCs w:val="18"/>
              </w:rPr>
              <w:t>For UE supports NR communication via ATG, UE must indicate this FG is supported.</w:t>
            </w:r>
          </w:p>
          <w:p>
            <w:pPr>
              <w:keepNext/>
              <w:keepLines/>
              <w:widowControl w:val="0"/>
              <w:jc w:val="both"/>
              <w:rPr>
                <w:rFonts w:eastAsia="宋体"/>
                <w:b/>
                <w:i/>
                <w:iCs/>
                <w:kern w:val="2"/>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i/>
                <w:iCs/>
                <w:kern w:val="2"/>
                <w:sz w:val="18"/>
                <w:szCs w:val="24"/>
                <w:lang w:val="en-US" w:eastAsia="zh-CN" w:bidi="ar-SA"/>
              </w:rPr>
            </w:pPr>
            <w:r>
              <w:rPr>
                <w:rFonts w:eastAsia="宋体"/>
                <w:b/>
                <w:i/>
                <w:iCs/>
                <w:kern w:val="2"/>
                <w:sz w:val="18"/>
              </w:rPr>
              <w:t xml:space="preserve">UE reporting of </w:t>
            </w:r>
            <w:r>
              <w:rPr>
                <w:rFonts w:hint="eastAsia" w:eastAsia="宋体"/>
                <w:b/>
                <w:i/>
                <w:iCs/>
                <w:kern w:val="2"/>
                <w:sz w:val="18"/>
              </w:rPr>
              <w:t xml:space="preserve">TA </w:t>
            </w:r>
            <w:r>
              <w:rPr>
                <w:rFonts w:eastAsia="宋体"/>
                <w:b/>
                <w:i/>
                <w:iCs/>
                <w:kern w:val="2"/>
                <w:sz w:val="18"/>
              </w:rPr>
              <w:t xml:space="preserve">information </w:t>
            </w:r>
          </w:p>
        </w:tc>
        <w:tc>
          <w:tcPr>
            <w:tcW w:w="3620"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i/>
                <w:iCs/>
                <w:kern w:val="2"/>
                <w:sz w:val="18"/>
                <w:szCs w:val="24"/>
                <w:lang w:val="en-US" w:eastAsia="zh-CN" w:bidi="ar-SA"/>
              </w:rPr>
            </w:pPr>
            <w:r>
              <w:rPr>
                <w:rFonts w:eastAsia="宋体"/>
                <w:b/>
                <w:i/>
                <w:iCs/>
                <w:kern w:val="2"/>
                <w:sz w:val="18"/>
              </w:rPr>
              <w:t xml:space="preserve">Support UE reporting of </w:t>
            </w:r>
            <w:r>
              <w:rPr>
                <w:rFonts w:hint="eastAsia" w:eastAsia="宋体"/>
                <w:b/>
                <w:i/>
                <w:iCs/>
                <w:kern w:val="2"/>
                <w:sz w:val="18"/>
              </w:rPr>
              <w:t xml:space="preserve">TA </w:t>
            </w:r>
            <w:r>
              <w:rPr>
                <w:rFonts w:eastAsia="宋体"/>
                <w:b/>
                <w:i/>
                <w:iCs/>
                <w:kern w:val="2"/>
                <w:sz w:val="18"/>
              </w:rPr>
              <w:t>information</w:t>
            </w:r>
          </w:p>
        </w:tc>
        <w:tc>
          <w:tcPr>
            <w:tcW w:w="1006"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eastAsia="宋体"/>
                <w:b/>
                <w:i/>
                <w:iCs/>
                <w:kern w:val="2"/>
                <w:sz w:val="18"/>
              </w:rPr>
            </w:pPr>
            <w:r>
              <w:rPr>
                <w:rFonts w:hint="eastAsia" w:eastAsia="宋体"/>
                <w:b/>
                <w:i/>
                <w:iCs/>
                <w:kern w:val="2"/>
                <w:sz w:val="18"/>
              </w:rPr>
              <w:t>TBD</w:t>
            </w:r>
          </w:p>
          <w:p>
            <w:pPr>
              <w:keepNext/>
              <w:keepLines/>
              <w:widowControl w:val="0"/>
              <w:jc w:val="both"/>
              <w:rPr>
                <w:rFonts w:ascii="Times New Roman" w:hAnsi="Times New Roman" w:eastAsia="宋体" w:cs="Times New Roman"/>
                <w:b/>
                <w:i/>
                <w:iCs/>
                <w:kern w:val="2"/>
                <w:sz w:val="18"/>
                <w:szCs w:val="24"/>
                <w:lang w:val="en-US" w:eastAsia="zh-CN" w:bidi="ar-SA"/>
              </w:rPr>
            </w:pPr>
            <w:r>
              <w:rPr>
                <w:rFonts w:hint="eastAsia" w:eastAsia="宋体"/>
                <w:b/>
                <w:i/>
                <w:iCs/>
                <w:kern w:val="2"/>
                <w:sz w:val="18"/>
              </w:rPr>
              <w:t>[Uplink Time and Frequency pre-compensation and timing relationship enhancements]</w:t>
            </w:r>
          </w:p>
        </w:tc>
        <w:tc>
          <w:tcPr>
            <w:tcW w:w="1040"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i/>
                <w:iCs/>
                <w:kern w:val="2"/>
                <w:sz w:val="18"/>
                <w:szCs w:val="18"/>
                <w:lang w:val="en-US" w:eastAsia="zh-CN" w:bidi="ar-SA"/>
              </w:rPr>
            </w:pPr>
            <w:r>
              <w:rPr>
                <w:rFonts w:hint="eastAsia" w:eastAsia="宋体"/>
                <w:b/>
                <w:i/>
                <w:iCs/>
                <w:kern w:val="2"/>
                <w:sz w:val="18"/>
                <w:szCs w:val="18"/>
              </w:rPr>
              <w:t>TBD</w:t>
            </w:r>
          </w:p>
        </w:tc>
        <w:tc>
          <w:tcPr>
            <w:tcW w:w="927"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i/>
                <w:iCs/>
                <w:kern w:val="2"/>
                <w:sz w:val="18"/>
                <w:szCs w:val="18"/>
                <w:lang w:val="en-US" w:eastAsia="en-GB" w:bidi="ar-SA"/>
              </w:rPr>
            </w:pPr>
            <w:r>
              <w:rPr>
                <w:rFonts w:eastAsia="宋体"/>
                <w:b/>
                <w:i/>
                <w:iCs/>
                <w:kern w:val="2"/>
                <w:sz w:val="18"/>
                <w:szCs w:val="18"/>
              </w:rPr>
              <w:t>BandNR</w:t>
            </w:r>
          </w:p>
        </w:tc>
        <w:tc>
          <w:tcPr>
            <w:tcW w:w="1113"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i/>
                <w:iCs/>
                <w:kern w:val="2"/>
                <w:sz w:val="18"/>
                <w:szCs w:val="24"/>
                <w:lang w:val="en-US" w:eastAsia="zh-CN" w:bidi="ar-SA"/>
              </w:rPr>
            </w:pPr>
            <w:r>
              <w:rPr>
                <w:rFonts w:eastAsia="宋体"/>
                <w:b/>
                <w:i/>
                <w:iCs/>
                <w:kern w:val="2"/>
                <w:sz w:val="18"/>
              </w:rPr>
              <w:t>No</w:t>
            </w:r>
          </w:p>
        </w:tc>
        <w:tc>
          <w:tcPr>
            <w:tcW w:w="1087"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i/>
                <w:iCs/>
                <w:kern w:val="2"/>
                <w:sz w:val="18"/>
                <w:szCs w:val="24"/>
                <w:lang w:val="en-US" w:eastAsia="zh-CN" w:bidi="ar-SA"/>
              </w:rPr>
            </w:pPr>
            <w:r>
              <w:rPr>
                <w:rFonts w:eastAsia="宋体"/>
                <w:b/>
                <w:i/>
                <w:iCs/>
                <w:kern w:val="2"/>
                <w:sz w:val="18"/>
              </w:rPr>
              <w:t>No</w:t>
            </w:r>
          </w:p>
        </w:tc>
        <w:tc>
          <w:tcPr>
            <w:tcW w:w="2267"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eastAsia="宋体"/>
                <w:b/>
                <w:i/>
                <w:iCs/>
                <w:kern w:val="2"/>
                <w:sz w:val="18"/>
              </w:rPr>
            </w:pPr>
            <w:r>
              <w:rPr>
                <w:rFonts w:eastAsia="宋体"/>
                <w:b/>
                <w:i/>
                <w:iCs/>
                <w:kern w:val="2"/>
                <w:sz w:val="18"/>
              </w:rPr>
              <w:t>Note</w:t>
            </w:r>
            <w:r>
              <w:rPr>
                <w:rFonts w:hint="eastAsia" w:eastAsia="宋体"/>
                <w:b/>
                <w:i/>
                <w:iCs/>
                <w:kern w:val="2"/>
                <w:sz w:val="18"/>
                <w:lang w:val="en-US" w:eastAsia="zh-CN"/>
              </w:rPr>
              <w:t xml:space="preserve"> 1</w:t>
            </w:r>
            <w:r>
              <w:rPr>
                <w:rFonts w:eastAsia="宋体"/>
                <w:b/>
                <w:i/>
                <w:iCs/>
                <w:kern w:val="2"/>
                <w:sz w:val="18"/>
              </w:rPr>
              <w:t>: The exact content of UE reporting of information about the TA pre-compensation is up to RAN2</w:t>
            </w:r>
          </w:p>
          <w:p>
            <w:pPr>
              <w:keepNext/>
              <w:keepLines/>
              <w:widowControl w:val="0"/>
              <w:jc w:val="both"/>
              <w:rPr>
                <w:rFonts w:eastAsia="宋体"/>
                <w:b/>
                <w:i/>
                <w:iCs/>
                <w:kern w:val="2"/>
                <w:sz w:val="18"/>
              </w:rPr>
            </w:pPr>
          </w:p>
          <w:p>
            <w:pPr>
              <w:keepNext/>
              <w:keepLines/>
              <w:widowControl w:val="0"/>
              <w:jc w:val="both"/>
              <w:rPr>
                <w:rFonts w:ascii="Times New Roman" w:hAnsi="Times New Roman" w:eastAsia="宋体" w:cs="Times New Roman"/>
                <w:b/>
                <w:i/>
                <w:iCs/>
                <w:kern w:val="2"/>
                <w:sz w:val="18"/>
                <w:szCs w:val="24"/>
                <w:lang w:val="en-US" w:eastAsia="zh-CN" w:bidi="ar-SA"/>
              </w:rPr>
            </w:pPr>
            <w:r>
              <w:rPr>
                <w:rFonts w:eastAsia="宋体"/>
                <w:b/>
                <w:i/>
                <w:iCs/>
                <w:kern w:val="2"/>
                <w:sz w:val="18"/>
              </w:rPr>
              <w:t>Note</w:t>
            </w:r>
            <w:r>
              <w:rPr>
                <w:rFonts w:hint="eastAsia" w:eastAsia="宋体"/>
                <w:b/>
                <w:i/>
                <w:iCs/>
                <w:kern w:val="2"/>
                <w:sz w:val="18"/>
                <w:lang w:val="en-US" w:eastAsia="zh-CN"/>
              </w:rPr>
              <w:t xml:space="preserve"> 2</w:t>
            </w:r>
            <w:r>
              <w:rPr>
                <w:rFonts w:eastAsia="宋体"/>
                <w:b/>
                <w:i/>
                <w:iCs/>
                <w:kern w:val="2"/>
                <w:sz w:val="18"/>
              </w:rPr>
              <w:t>: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i/>
                <w:iCs/>
                <w:kern w:val="2"/>
                <w:sz w:val="18"/>
                <w:szCs w:val="24"/>
                <w:lang w:val="en-US" w:eastAsia="zh-CN" w:bidi="ar-SA"/>
              </w:rPr>
            </w:pPr>
            <w:r>
              <w:rPr>
                <w:rFonts w:eastAsia="宋体"/>
                <w:b/>
                <w:i/>
                <w:iCs/>
                <w:kern w:val="2"/>
                <w:sz w:val="18"/>
              </w:rPr>
              <w:t>Optional</w:t>
            </w:r>
            <w:r>
              <w:rPr>
                <w:rFonts w:hint="eastAsia" w:eastAsia="宋体"/>
                <w:b/>
                <w:i/>
                <w:iCs/>
                <w:kern w:val="2"/>
                <w:sz w:val="18"/>
              </w:rPr>
              <w:t xml:space="preserve"> </w:t>
            </w:r>
            <w:r>
              <w:rPr>
                <w:rFonts w:eastAsia="宋体"/>
                <w:b/>
                <w:i/>
                <w:iCs/>
                <w:kern w:val="2"/>
                <w:sz w:val="18"/>
              </w:rPr>
              <w:t xml:space="preserve">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 xml:space="preserve">UE-specific K_offset </w:t>
            </w:r>
          </w:p>
        </w:tc>
        <w:tc>
          <w:tcPr>
            <w:tcW w:w="3620" w:type="dxa"/>
            <w:tcBorders>
              <w:top w:val="single" w:color="auto" w:sz="4" w:space="0"/>
              <w:left w:val="single" w:color="auto" w:sz="4" w:space="0"/>
              <w:bottom w:val="single" w:color="auto" w:sz="4" w:space="0"/>
              <w:right w:val="single" w:color="auto" w:sz="4" w:space="0"/>
            </w:tcBorders>
            <w:vAlign w:val="top"/>
          </w:tcPr>
          <w:p>
            <w:pPr>
              <w:pStyle w:val="28"/>
              <w:rPr>
                <w:rFonts w:hint="default"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Support of reception of UE-specific K_offset via MAC-CE</w:t>
            </w:r>
            <w:r>
              <w:rPr>
                <w:rFonts w:hint="eastAsia" w:ascii="Times New Roman" w:hAnsi="Times New Roman" w:eastAsia="宋体"/>
                <w:b/>
                <w:i/>
                <w:iCs/>
                <w:kern w:val="2"/>
                <w:szCs w:val="24"/>
                <w:lang w:val="en-US" w:eastAsia="zh-CN"/>
              </w:rPr>
              <w:t>.</w:t>
            </w:r>
          </w:p>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Support of determining the timing of PUSCH, PUCCH, CSI reference resource, transmission of aperiodic SRS, activation of TA command, first PUSCH transmission in CG Type 2 with UE-specific Koffset</w:t>
            </w:r>
          </w:p>
        </w:tc>
        <w:tc>
          <w:tcPr>
            <w:tcW w:w="1006"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TBD</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w:t>
            </w:r>
            <w:r>
              <w:rPr>
                <w:rFonts w:ascii="Times New Roman" w:hAnsi="Times New Roman" w:eastAsia="宋体"/>
                <w:b/>
                <w:i/>
                <w:iCs/>
                <w:kern w:val="2"/>
                <w:szCs w:val="24"/>
                <w:lang w:val="en-US" w:eastAsia="zh-CN"/>
              </w:rPr>
              <w:t>Uplink Time and Frequency pre-compensation and timing relationship enhancements</w:t>
            </w:r>
          </w:p>
          <w:p>
            <w:pPr>
              <w:pStyle w:val="28"/>
              <w:rPr>
                <w:rFonts w:ascii="Times New Roman" w:hAnsi="Times New Roman" w:eastAsia="宋体"/>
                <w:b/>
                <w:i/>
                <w:iCs/>
                <w:kern w:val="2"/>
                <w:szCs w:val="24"/>
                <w:lang w:val="en-US" w:eastAsia="zh-CN"/>
              </w:rPr>
            </w:pPr>
            <w:r>
              <w:rPr>
                <w:rFonts w:hint="eastAsia" w:ascii="Times New Roman" w:hAnsi="Times New Roman" w:eastAsia="宋体"/>
                <w:b/>
                <w:i/>
                <w:iCs/>
                <w:kern w:val="2"/>
                <w:szCs w:val="24"/>
                <w:lang w:val="en-US" w:eastAsia="zh-CN"/>
              </w:rPr>
              <w:t xml:space="preserve">And </w:t>
            </w:r>
          </w:p>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 xml:space="preserve">UE reporting of </w:t>
            </w:r>
            <w:r>
              <w:rPr>
                <w:rFonts w:hint="eastAsia" w:ascii="Times New Roman" w:hAnsi="Times New Roman" w:eastAsia="宋体"/>
                <w:b/>
                <w:i/>
                <w:iCs/>
                <w:kern w:val="2"/>
                <w:szCs w:val="24"/>
                <w:lang w:val="en-US" w:eastAsia="zh-CN"/>
              </w:rPr>
              <w:t>TA information]</w:t>
            </w:r>
          </w:p>
        </w:tc>
        <w:tc>
          <w:tcPr>
            <w:tcW w:w="1040"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hint="eastAsia" w:ascii="Times New Roman" w:hAnsi="Times New Roman" w:eastAsia="宋体"/>
                <w:b/>
                <w:i/>
                <w:iCs/>
                <w:kern w:val="2"/>
                <w:szCs w:val="24"/>
                <w:lang w:val="en-US" w:eastAsia="zh-CN"/>
              </w:rPr>
              <w:t>TBD</w:t>
            </w:r>
          </w:p>
        </w:tc>
        <w:tc>
          <w:tcPr>
            <w:tcW w:w="92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en-GB" w:bidi="ar-SA"/>
              </w:rPr>
            </w:pPr>
            <w:r>
              <w:rPr>
                <w:rFonts w:ascii="Times New Roman" w:hAnsi="Times New Roman" w:eastAsia="宋体"/>
                <w:b/>
                <w:i/>
                <w:iCs/>
                <w:kern w:val="2"/>
                <w:szCs w:val="24"/>
                <w:lang w:val="en-US" w:eastAsia="zh-CN"/>
              </w:rPr>
              <w:t>BandNR</w:t>
            </w:r>
          </w:p>
        </w:tc>
        <w:tc>
          <w:tcPr>
            <w:tcW w:w="1113"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w:t>
            </w:r>
          </w:p>
        </w:tc>
        <w:tc>
          <w:tcPr>
            <w:tcW w:w="108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w:t>
            </w:r>
          </w:p>
        </w:tc>
        <w:tc>
          <w:tcPr>
            <w:tcW w:w="226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Note: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Increasing the number of HARQ processes</w:t>
            </w:r>
          </w:p>
        </w:tc>
        <w:tc>
          <w:tcPr>
            <w:tcW w:w="3620"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The maximal supported HARQ process number is X for UL and Y for DL</w:t>
            </w:r>
          </w:p>
        </w:tc>
        <w:tc>
          <w:tcPr>
            <w:tcW w:w="1006"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p>
        </w:tc>
        <w:tc>
          <w:tcPr>
            <w:tcW w:w="1040"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hint="eastAsia" w:ascii="Times New Roman" w:hAnsi="Times New Roman" w:eastAsia="宋体"/>
                <w:b/>
                <w:i/>
                <w:iCs/>
                <w:kern w:val="2"/>
                <w:szCs w:val="24"/>
                <w:lang w:val="en-US" w:eastAsia="zh-CN"/>
              </w:rPr>
              <w:t>TBD</w:t>
            </w:r>
          </w:p>
        </w:tc>
        <w:tc>
          <w:tcPr>
            <w:tcW w:w="92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en-GB" w:bidi="ar-SA"/>
              </w:rPr>
            </w:pPr>
            <w:r>
              <w:rPr>
                <w:rFonts w:ascii="Times New Roman" w:hAnsi="Times New Roman" w:eastAsia="宋体"/>
                <w:b/>
                <w:i/>
                <w:iCs/>
                <w:kern w:val="2"/>
                <w:szCs w:val="24"/>
                <w:lang w:val="en-US" w:eastAsia="zh-CN"/>
              </w:rPr>
              <w:t>BandNR</w:t>
            </w:r>
          </w:p>
        </w:tc>
        <w:tc>
          <w:tcPr>
            <w:tcW w:w="1113"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w:t>
            </w:r>
          </w:p>
        </w:tc>
        <w:tc>
          <w:tcPr>
            <w:tcW w:w="108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w:t>
            </w:r>
          </w:p>
        </w:tc>
        <w:tc>
          <w:tcPr>
            <w:tcW w:w="2267"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b/>
                <w:i/>
                <w:iCs/>
                <w:kern w:val="2"/>
                <w:szCs w:val="24"/>
                <w:lang w:val="en-US" w:eastAsia="zh-CN"/>
              </w:rPr>
            </w:pPr>
            <w:r>
              <w:rPr>
                <w:rFonts w:ascii="Times New Roman" w:hAnsi="Times New Roman" w:eastAsia="宋体"/>
                <w:b/>
                <w:i/>
                <w:iCs/>
                <w:kern w:val="2"/>
                <w:szCs w:val="24"/>
                <w:lang w:val="en-US" w:eastAsia="zh-CN"/>
              </w:rPr>
              <w:t>Candidate component values for (X,Y): {(16,32),(32,16),(32,32)}</w:t>
            </w:r>
          </w:p>
          <w:p>
            <w:pPr>
              <w:pStyle w:val="28"/>
              <w:rPr>
                <w:rFonts w:ascii="Times New Roman" w:hAnsi="Times New Roman" w:eastAsia="宋体"/>
                <w:b/>
                <w:i/>
                <w:iCs/>
                <w:kern w:val="2"/>
                <w:szCs w:val="24"/>
                <w:lang w:val="en-US" w:eastAsia="zh-CN"/>
              </w:rPr>
            </w:pPr>
          </w:p>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Note: This UE feature group is applicable only for ATG operating bands</w:t>
            </w:r>
          </w:p>
        </w:tc>
        <w:tc>
          <w:tcPr>
            <w:tcW w:w="1440" w:type="dxa"/>
            <w:tcBorders>
              <w:top w:val="single" w:color="auto" w:sz="4" w:space="0"/>
              <w:left w:val="single" w:color="auto" w:sz="4" w:space="0"/>
              <w:bottom w:val="single" w:color="auto" w:sz="4" w:space="0"/>
              <w:right w:val="single" w:color="auto" w:sz="4" w:space="0"/>
            </w:tcBorders>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K1 range extension</w:t>
            </w:r>
          </w:p>
        </w:tc>
        <w:tc>
          <w:tcPr>
            <w:tcW w:w="0" w:type="auto"/>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Support of extended K1 value range of (0..31) for unpaired spectrum</w:t>
            </w:r>
          </w:p>
        </w:tc>
        <w:tc>
          <w:tcPr>
            <w:tcW w:w="0" w:type="auto"/>
            <w:vAlign w:val="top"/>
          </w:tcPr>
          <w:p>
            <w:pPr>
              <w:pStyle w:val="28"/>
              <w:rPr>
                <w:rFonts w:ascii="Times New Roman" w:hAnsi="Times New Roman" w:eastAsia="宋体" w:cs="Times New Roman"/>
                <w:b/>
                <w:i/>
                <w:iCs/>
                <w:kern w:val="2"/>
                <w:sz w:val="18"/>
                <w:szCs w:val="24"/>
                <w:lang w:val="en-US" w:eastAsia="zh-CN" w:bidi="ar-SA"/>
              </w:rPr>
            </w:pPr>
          </w:p>
        </w:tc>
        <w:tc>
          <w:tcPr>
            <w:tcW w:w="0" w:type="auto"/>
            <w:vAlign w:val="top"/>
          </w:tcPr>
          <w:p>
            <w:pPr>
              <w:pStyle w:val="28"/>
              <w:rPr>
                <w:rFonts w:ascii="Times New Roman" w:hAnsi="Times New Roman" w:eastAsia="宋体" w:cs="Times New Roman"/>
                <w:b/>
                <w:i/>
                <w:iCs/>
                <w:kern w:val="2"/>
                <w:sz w:val="18"/>
                <w:szCs w:val="24"/>
                <w:lang w:val="en-US" w:eastAsia="zh-CN" w:bidi="ar-SA"/>
              </w:rPr>
            </w:pPr>
            <w:r>
              <w:rPr>
                <w:rFonts w:hint="eastAsia" w:ascii="Times New Roman" w:hAnsi="Times New Roman" w:eastAsia="宋体"/>
                <w:b/>
                <w:i/>
                <w:iCs/>
                <w:kern w:val="2"/>
                <w:szCs w:val="24"/>
                <w:lang w:val="en-US" w:eastAsia="zh-CN"/>
              </w:rPr>
              <w:t>TBD</w:t>
            </w:r>
          </w:p>
        </w:tc>
        <w:tc>
          <w:tcPr>
            <w:tcW w:w="0" w:type="auto"/>
            <w:vAlign w:val="top"/>
          </w:tcPr>
          <w:p>
            <w:pPr>
              <w:pStyle w:val="28"/>
              <w:rPr>
                <w:rFonts w:ascii="Times New Roman" w:hAnsi="Times New Roman" w:eastAsia="宋体" w:cs="Times New Roman"/>
                <w:b/>
                <w:i/>
                <w:iCs/>
                <w:kern w:val="2"/>
                <w:sz w:val="18"/>
                <w:szCs w:val="24"/>
                <w:lang w:val="en-US" w:eastAsia="en-GB" w:bidi="ar-SA"/>
              </w:rPr>
            </w:pPr>
            <w:r>
              <w:rPr>
                <w:rFonts w:ascii="Times New Roman" w:hAnsi="Times New Roman" w:eastAsia="宋体"/>
                <w:b/>
                <w:i/>
                <w:iCs/>
                <w:kern w:val="2"/>
                <w:szCs w:val="24"/>
                <w:lang w:val="en-US" w:eastAsia="zh-CN"/>
              </w:rPr>
              <w:t>BandNR</w:t>
            </w:r>
          </w:p>
        </w:tc>
        <w:tc>
          <w:tcPr>
            <w:tcW w:w="0" w:type="auto"/>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w:t>
            </w:r>
          </w:p>
        </w:tc>
        <w:tc>
          <w:tcPr>
            <w:tcW w:w="0" w:type="auto"/>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w:t>
            </w:r>
          </w:p>
        </w:tc>
        <w:tc>
          <w:tcPr>
            <w:tcW w:w="0" w:type="auto"/>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Note: This UE feature group is applicable only for ATG operating bands</w:t>
            </w:r>
          </w:p>
        </w:tc>
        <w:tc>
          <w:tcPr>
            <w:tcW w:w="0" w:type="auto"/>
            <w:vAlign w:val="top"/>
          </w:tcPr>
          <w:p>
            <w:pPr>
              <w:pStyle w:val="28"/>
              <w:rPr>
                <w:rFonts w:ascii="Times New Roman" w:hAnsi="Times New Roman" w:eastAsia="宋体" w:cs="Times New Roman"/>
                <w:b/>
                <w:i/>
                <w:iCs/>
                <w:kern w:val="2"/>
                <w:sz w:val="18"/>
                <w:szCs w:val="24"/>
                <w:lang w:val="en-US" w:eastAsia="zh-CN" w:bidi="ar-SA"/>
              </w:rPr>
            </w:pPr>
            <w:r>
              <w:rPr>
                <w:rFonts w:ascii="Times New Roman" w:hAnsi="Times New Roman" w:eastAsia="宋体"/>
                <w:b/>
                <w:i/>
                <w:iCs/>
                <w:kern w:val="2"/>
                <w:szCs w:val="24"/>
                <w:lang w:val="en-US" w:eastAsia="zh-CN"/>
              </w:rPr>
              <w:t xml:space="preserve">Optional with capability signalling </w:t>
            </w:r>
          </w:p>
        </w:tc>
      </w:tr>
    </w:tbl>
    <w:p>
      <w:pPr>
        <w:tabs>
          <w:tab w:val="left" w:pos="1134"/>
        </w:tabs>
        <w:spacing w:before="156" w:beforeLines="50" w:after="180"/>
        <w:jc w:val="both"/>
        <w:rPr>
          <w:rFonts w:hint="eastAsia" w:ascii="Arial" w:hAnsi="Arial" w:eastAsia="等线" w:cs="Arial"/>
          <w:iCs/>
          <w:sz w:val="20"/>
          <w:lang w:val="en-US" w:eastAsia="zh-CN"/>
        </w:rPr>
      </w:pPr>
      <w:r>
        <w:rPr>
          <w:rFonts w:hint="eastAsia" w:ascii="Arial" w:hAnsi="Arial" w:eastAsia="等线" w:cs="Arial"/>
          <w:iCs/>
          <w:sz w:val="20"/>
          <w:lang w:val="en-US" w:eastAsia="zh-CN"/>
        </w:rPr>
        <w:t>Following Layer-2 and Layer-3 new ATG UE features should be introduced.</w:t>
      </w:r>
    </w:p>
    <w:tbl>
      <w:tblPr>
        <w:tblStyle w:val="19"/>
        <w:tblW w:w="13927"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7"/>
        <w:gridCol w:w="2887"/>
        <w:gridCol w:w="1733"/>
        <w:gridCol w:w="1060"/>
        <w:gridCol w:w="907"/>
        <w:gridCol w:w="1140"/>
        <w:gridCol w:w="1080"/>
        <w:gridCol w:w="2253"/>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GB"/>
              </w:rPr>
            </w:pPr>
            <w:r>
              <w:rPr>
                <w:rFonts w:eastAsia="宋体"/>
                <w:b/>
                <w:i/>
                <w:iCs/>
                <w:kern w:val="2"/>
                <w:sz w:val="18"/>
                <w:szCs w:val="18"/>
              </w:rPr>
              <w:t>Feature group</w:t>
            </w:r>
          </w:p>
        </w:tc>
        <w:tc>
          <w:tcPr>
            <w:tcW w:w="288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Components</w:t>
            </w:r>
          </w:p>
        </w:tc>
        <w:tc>
          <w:tcPr>
            <w:tcW w:w="173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Prerequisite feature groups</w:t>
            </w:r>
          </w:p>
        </w:tc>
        <w:tc>
          <w:tcPr>
            <w:tcW w:w="106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Field name in TS 38.331 [2]</w:t>
            </w:r>
          </w:p>
        </w:tc>
        <w:tc>
          <w:tcPr>
            <w:tcW w:w="907"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Parent IE in TS 38.331 [2]</w:t>
            </w:r>
          </w:p>
        </w:tc>
        <w:tc>
          <w:tcPr>
            <w:tcW w:w="11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FDD/TDD differentiation</w:t>
            </w:r>
          </w:p>
        </w:tc>
        <w:tc>
          <w:tcPr>
            <w:tcW w:w="108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lang w:eastAsia="en-US"/>
              </w:rPr>
            </w:pPr>
            <w:r>
              <w:rPr>
                <w:rFonts w:eastAsia="宋体"/>
                <w:b/>
                <w:i/>
                <w:iCs/>
                <w:kern w:val="2"/>
                <w:sz w:val="18"/>
                <w:szCs w:val="18"/>
              </w:rPr>
              <w:t>Need of FR1/FR2 differentiation</w:t>
            </w:r>
          </w:p>
        </w:tc>
        <w:tc>
          <w:tcPr>
            <w:tcW w:w="2253"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Note</w:t>
            </w:r>
          </w:p>
        </w:tc>
        <w:tc>
          <w:tcPr>
            <w:tcW w:w="1440" w:type="dxa"/>
            <w:tcBorders>
              <w:top w:val="single" w:color="auto" w:sz="4" w:space="0"/>
              <w:left w:val="single" w:color="auto" w:sz="4" w:space="0"/>
              <w:bottom w:val="single" w:color="auto" w:sz="4" w:space="0"/>
              <w:right w:val="single" w:color="auto" w:sz="4" w:space="0"/>
            </w:tcBorders>
          </w:tcPr>
          <w:p>
            <w:pPr>
              <w:keepNext/>
              <w:keepLines/>
              <w:widowControl w:val="0"/>
              <w:jc w:val="center"/>
              <w:rPr>
                <w:rFonts w:eastAsia="宋体"/>
                <w:b/>
                <w:i/>
                <w:iCs/>
                <w:kern w:val="2"/>
                <w:sz w:val="18"/>
              </w:rPr>
            </w:pPr>
            <w:r>
              <w:rPr>
                <w:rFonts w:eastAsia="宋体"/>
                <w:b/>
                <w:i/>
                <w:iCs/>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GB"/>
              </w:rPr>
              <w:t>Location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Event A4 based CHO</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Event A4 based CHO</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condHandover-r16 is set for </w:t>
            </w:r>
            <w:r>
              <w:rPr>
                <w:rFonts w:hint="eastAsia" w:eastAsia="宋体"/>
                <w:b/>
                <w:i/>
                <w:iCs/>
                <w:kern w:val="2"/>
                <w:sz w:val="18"/>
              </w:rPr>
              <w:t xml:space="preserve">ATG </w:t>
            </w:r>
            <w:r>
              <w:rPr>
                <w:rFonts w:eastAsia="宋体"/>
                <w:b/>
                <w:i/>
                <w:iCs/>
                <w:kern w:val="2"/>
                <w:sz w:val="18"/>
              </w:rPr>
              <w:t>bands.</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BandNR</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 xml:space="preserve">UE shall set the capability value consistently for all </w:t>
            </w:r>
            <w:r>
              <w:rPr>
                <w:rFonts w:hint="eastAsia" w:eastAsia="宋体"/>
                <w:b/>
                <w:i/>
                <w:iCs/>
                <w:kern w:val="2"/>
                <w:sz w:val="18"/>
              </w:rPr>
              <w:t>ATG operating</w:t>
            </w:r>
            <w:r>
              <w:rPr>
                <w:rFonts w:eastAsia="宋体"/>
                <w:b/>
                <w:i/>
                <w:iCs/>
                <w:kern w:val="2"/>
                <w:sz w:val="18"/>
              </w:rPr>
              <w:t xml:space="preserve"> bands.</w:t>
            </w: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GB"/>
              </w:rPr>
            </w:pPr>
            <w:r>
              <w:rPr>
                <w:rFonts w:eastAsia="宋体"/>
                <w:b/>
                <w:i/>
                <w:iCs/>
                <w:kern w:val="2"/>
                <w:sz w:val="18"/>
                <w:lang w:eastAsia="en-GB"/>
              </w:rPr>
              <w:t>Location-based measurement report trigger</w:t>
            </w:r>
          </w:p>
        </w:tc>
        <w:tc>
          <w:tcPr>
            <w:tcW w:w="288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Indicates whether the UE supports location-based triggered measurement reporting (i.e., event D1)</w:t>
            </w:r>
          </w:p>
        </w:tc>
        <w:tc>
          <w:tcPr>
            <w:tcW w:w="173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hint="eastAsia" w:eastAsia="宋体"/>
                <w:b/>
                <w:i/>
                <w:iCs/>
                <w:kern w:val="2"/>
                <w:sz w:val="18"/>
              </w:rPr>
              <w:t>TBD</w:t>
            </w:r>
          </w:p>
          <w:p>
            <w:pPr>
              <w:keepNext/>
              <w:keepLines/>
              <w:rPr>
                <w:rFonts w:eastAsia="宋体"/>
                <w:b/>
                <w:i/>
                <w:iCs/>
                <w:kern w:val="2"/>
                <w:sz w:val="18"/>
              </w:rPr>
            </w:pPr>
            <w:r>
              <w:rPr>
                <w:rFonts w:hint="eastAsia" w:eastAsia="宋体"/>
                <w:b/>
                <w:i/>
                <w:iCs/>
                <w:kern w:val="2"/>
                <w:sz w:val="18"/>
              </w:rPr>
              <w:t>[</w:t>
            </w:r>
            <w:r>
              <w:rPr>
                <w:rFonts w:eastAsia="宋体"/>
                <w:b/>
                <w:i/>
                <w:iCs/>
                <w:kern w:val="2"/>
                <w:sz w:val="18"/>
                <w:lang w:eastAsia="en-GB"/>
              </w:rPr>
              <w:t>Location based CHO</w:t>
            </w:r>
            <w:r>
              <w:rPr>
                <w:rFonts w:hint="eastAsia" w:eastAsia="宋体"/>
                <w:b/>
                <w:i/>
                <w:iCs/>
                <w:kern w:val="2"/>
                <w:sz w:val="18"/>
              </w:rPr>
              <w:t>]</w:t>
            </w:r>
          </w:p>
        </w:tc>
        <w:tc>
          <w:tcPr>
            <w:tcW w:w="1060"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i/>
                <w:iCs/>
                <w:kern w:val="2"/>
                <w:sz w:val="18"/>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MeasAndMobParametersCommon</w:t>
            </w:r>
          </w:p>
        </w:tc>
        <w:tc>
          <w:tcPr>
            <w:tcW w:w="11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lang w:eastAsia="en-US"/>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p>
        </w:tc>
        <w:tc>
          <w:tcPr>
            <w:tcW w:w="1440" w:type="dxa"/>
            <w:tcBorders>
              <w:top w:val="single" w:color="auto" w:sz="4" w:space="0"/>
              <w:left w:val="single" w:color="auto" w:sz="4" w:space="0"/>
              <w:bottom w:val="single" w:color="auto" w:sz="4" w:space="0"/>
              <w:right w:val="single" w:color="auto" w:sz="4" w:space="0"/>
            </w:tcBorders>
          </w:tcPr>
          <w:p>
            <w:pPr>
              <w:keepNext/>
              <w:keepLines/>
              <w:rPr>
                <w:rFonts w:eastAsia="宋体"/>
                <w:b/>
                <w:i/>
                <w:iCs/>
                <w:kern w:val="2"/>
                <w:sz w:val="18"/>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GB" w:bidi="ar-SA"/>
              </w:rPr>
            </w:pPr>
            <w:r>
              <w:rPr>
                <w:rFonts w:eastAsia="宋体"/>
                <w:b/>
                <w:i/>
                <w:iCs/>
                <w:kern w:val="2"/>
                <w:sz w:val="18"/>
                <w:lang w:eastAsia="en-GB"/>
              </w:rPr>
              <w:t>SR triggered by a TA report</w:t>
            </w:r>
          </w:p>
        </w:tc>
        <w:tc>
          <w:tcPr>
            <w:tcW w:w="2887"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zh-CN" w:bidi="ar-SA"/>
              </w:rPr>
            </w:pPr>
            <w:r>
              <w:rPr>
                <w:rFonts w:eastAsia="宋体"/>
                <w:b/>
                <w:i/>
                <w:iCs/>
                <w:kern w:val="2"/>
                <w:sz w:val="18"/>
              </w:rPr>
              <w:t xml:space="preserve">Indicates whether the UE supports triggering of SR when a TA report is triggered and there are no available UL-SCH resources. </w:t>
            </w:r>
          </w:p>
        </w:tc>
        <w:tc>
          <w:tcPr>
            <w:tcW w:w="1733"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i/>
                <w:iCs/>
                <w:kern w:val="2"/>
                <w:sz w:val="18"/>
                <w:szCs w:val="24"/>
                <w:lang w:val="en-US" w:eastAsia="en-GB" w:bidi="ar-SA"/>
              </w:rPr>
            </w:pPr>
          </w:p>
        </w:tc>
        <w:tc>
          <w:tcPr>
            <w:tcW w:w="1060"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i/>
                <w:iCs/>
                <w:kern w:val="2"/>
                <w:sz w:val="18"/>
                <w:szCs w:val="24"/>
                <w:lang w:val="en-US" w:eastAsia="en-GB" w:bidi="ar-SA"/>
              </w:rPr>
            </w:pPr>
            <w:r>
              <w:rPr>
                <w:rFonts w:hint="eastAsia" w:eastAsia="宋体"/>
                <w:b/>
                <w:i/>
                <w:iCs/>
                <w:kern w:val="2"/>
                <w:sz w:val="18"/>
              </w:rPr>
              <w:t>TBD</w:t>
            </w:r>
          </w:p>
        </w:tc>
        <w:tc>
          <w:tcPr>
            <w:tcW w:w="907"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GB" w:bidi="ar-SA"/>
              </w:rPr>
            </w:pPr>
            <w:r>
              <w:rPr>
                <w:rFonts w:eastAsia="宋体"/>
                <w:b/>
                <w:i/>
                <w:iCs/>
                <w:kern w:val="2"/>
                <w:sz w:val="18"/>
                <w:lang w:eastAsia="en-GB"/>
              </w:rPr>
              <w:t>MAC-ParametersCommon</w:t>
            </w:r>
          </w:p>
        </w:tc>
        <w:tc>
          <w:tcPr>
            <w:tcW w:w="114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US" w:bidi="ar-SA"/>
              </w:rPr>
            </w:pPr>
            <w:r>
              <w:rPr>
                <w:rFonts w:eastAsia="宋体"/>
                <w:b/>
                <w:i/>
                <w:iCs/>
                <w:kern w:val="2"/>
                <w:sz w:val="18"/>
                <w:lang w:eastAsia="en-US"/>
              </w:rPr>
              <w:t>No</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US" w:bidi="ar-SA"/>
              </w:rPr>
            </w:pPr>
            <w:r>
              <w:rPr>
                <w:rFonts w:eastAsia="宋体"/>
                <w:b/>
                <w:i/>
                <w:iCs/>
                <w:kern w:val="2"/>
                <w:sz w:val="18"/>
                <w:lang w:eastAsia="en-US"/>
              </w:rPr>
              <w:t>No</w:t>
            </w:r>
          </w:p>
        </w:tc>
        <w:tc>
          <w:tcPr>
            <w:tcW w:w="225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GB" w:bidi="ar-SA"/>
              </w:rPr>
            </w:pPr>
          </w:p>
        </w:tc>
        <w:tc>
          <w:tcPr>
            <w:tcW w:w="144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zh-CN" w:bidi="ar-SA"/>
              </w:rPr>
            </w:pPr>
            <w:r>
              <w:rPr>
                <w:rFonts w:eastAsia="宋体"/>
                <w:b/>
                <w:i/>
                <w:iCs/>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427"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GB" w:bidi="ar-SA"/>
              </w:rPr>
            </w:pPr>
            <w:r>
              <w:rPr>
                <w:rFonts w:eastAsia="宋体"/>
                <w:b/>
                <w:i/>
                <w:iCs/>
                <w:kern w:val="2"/>
                <w:sz w:val="18"/>
                <w:lang w:eastAsia="en-GB"/>
              </w:rPr>
              <w:t>TA reporting during initial access</w:t>
            </w:r>
          </w:p>
        </w:tc>
        <w:tc>
          <w:tcPr>
            <w:tcW w:w="2887"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zh-CN" w:bidi="ar-SA"/>
              </w:rPr>
            </w:pPr>
            <w:r>
              <w:rPr>
                <w:rFonts w:eastAsia="宋体"/>
                <w:b/>
                <w:i/>
                <w:iCs/>
                <w:kern w:val="2"/>
                <w:sz w:val="18"/>
                <w:lang w:eastAsia="en-GB"/>
              </w:rPr>
              <w:t xml:space="preserve">It is mandatory to support TA reporting during initial access for UEs supporting </w:t>
            </w:r>
            <w:r>
              <w:rPr>
                <w:rFonts w:hint="eastAsia" w:eastAsia="宋体"/>
                <w:b/>
                <w:i/>
                <w:iCs/>
                <w:kern w:val="2"/>
                <w:sz w:val="18"/>
                <w:lang w:val="en-US" w:eastAsia="zh-CN"/>
              </w:rPr>
              <w:t>[</w:t>
            </w:r>
            <w:r>
              <w:rPr>
                <w:rFonts w:eastAsia="宋体"/>
                <w:b/>
                <w:i/>
                <w:iCs/>
                <w:kern w:val="2"/>
                <w:sz w:val="18"/>
                <w:lang w:eastAsia="en-GB"/>
              </w:rPr>
              <w:t>uplink-TA-Reporting-r17</w:t>
            </w:r>
            <w:r>
              <w:rPr>
                <w:rFonts w:hint="eastAsia" w:eastAsia="宋体"/>
                <w:b/>
                <w:i/>
                <w:iCs/>
                <w:kern w:val="2"/>
                <w:sz w:val="18"/>
                <w:lang w:val="en-US" w:eastAsia="zh-CN"/>
              </w:rPr>
              <w:t>]</w:t>
            </w:r>
            <w:r>
              <w:rPr>
                <w:rFonts w:eastAsia="宋体"/>
                <w:b/>
                <w:i/>
                <w:iCs/>
                <w:kern w:val="2"/>
                <w:sz w:val="18"/>
                <w:lang w:eastAsia="en-GB"/>
              </w:rPr>
              <w:t xml:space="preserve"> as specified in TS 38.321 [10].</w:t>
            </w:r>
          </w:p>
        </w:tc>
        <w:tc>
          <w:tcPr>
            <w:tcW w:w="1733"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i/>
                <w:iCs/>
                <w:kern w:val="2"/>
                <w:sz w:val="18"/>
                <w:szCs w:val="24"/>
                <w:lang w:val="en-US" w:eastAsia="zh-CN" w:bidi="ar-SA"/>
              </w:rPr>
            </w:pPr>
          </w:p>
        </w:tc>
        <w:tc>
          <w:tcPr>
            <w:tcW w:w="1060"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i/>
                <w:iCs/>
                <w:kern w:val="2"/>
                <w:sz w:val="18"/>
                <w:szCs w:val="24"/>
                <w:lang w:val="en-US" w:eastAsia="zh-CN" w:bidi="ar-SA"/>
              </w:rPr>
            </w:pPr>
            <w:r>
              <w:rPr>
                <w:rFonts w:eastAsia="宋体"/>
                <w:b/>
                <w:i/>
                <w:iCs/>
                <w:kern w:val="2"/>
                <w:sz w:val="18"/>
                <w:lang w:eastAsia="en-US"/>
              </w:rPr>
              <w:t>n/a</w:t>
            </w:r>
          </w:p>
        </w:tc>
        <w:tc>
          <w:tcPr>
            <w:tcW w:w="907"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zh-CN" w:bidi="ar-SA"/>
              </w:rPr>
            </w:pPr>
            <w:r>
              <w:rPr>
                <w:rFonts w:eastAsia="宋体"/>
                <w:b/>
                <w:i/>
                <w:iCs/>
                <w:kern w:val="2"/>
                <w:sz w:val="18"/>
                <w:lang w:eastAsia="en-US"/>
              </w:rPr>
              <w:t>n/a</w:t>
            </w:r>
          </w:p>
        </w:tc>
        <w:tc>
          <w:tcPr>
            <w:tcW w:w="114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US" w:bidi="ar-SA"/>
              </w:rPr>
            </w:pPr>
            <w:r>
              <w:rPr>
                <w:rFonts w:eastAsia="宋体"/>
                <w:b/>
                <w:i/>
                <w:iCs/>
                <w:kern w:val="2"/>
                <w:sz w:val="18"/>
                <w:lang w:eastAsia="en-US"/>
              </w:rPr>
              <w:t>n/a</w:t>
            </w:r>
          </w:p>
        </w:tc>
        <w:tc>
          <w:tcPr>
            <w:tcW w:w="108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en-US" w:bidi="ar-SA"/>
              </w:rPr>
            </w:pPr>
            <w:r>
              <w:rPr>
                <w:rFonts w:eastAsia="宋体"/>
                <w:b/>
                <w:i/>
                <w:iCs/>
                <w:kern w:val="2"/>
                <w:sz w:val="18"/>
                <w:lang w:eastAsia="en-US"/>
              </w:rPr>
              <w:t>n/a</w:t>
            </w:r>
          </w:p>
        </w:tc>
        <w:tc>
          <w:tcPr>
            <w:tcW w:w="225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zh-CN" w:bidi="ar-SA"/>
              </w:rPr>
            </w:pPr>
          </w:p>
        </w:tc>
        <w:tc>
          <w:tcPr>
            <w:tcW w:w="144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i/>
                <w:iCs/>
                <w:kern w:val="2"/>
                <w:sz w:val="18"/>
                <w:szCs w:val="24"/>
                <w:lang w:val="en-US" w:eastAsia="zh-CN" w:bidi="ar-SA"/>
              </w:rPr>
            </w:pPr>
            <w:r>
              <w:rPr>
                <w:rFonts w:eastAsia="宋体"/>
                <w:b/>
                <w:i/>
                <w:iCs/>
                <w:kern w:val="2"/>
                <w:sz w:val="18"/>
                <w:lang w:eastAsia="en-US"/>
              </w:rPr>
              <w:t>Conditional mandatory without capability signalling</w:t>
            </w:r>
          </w:p>
        </w:tc>
      </w:tr>
    </w:tbl>
    <w:p>
      <w:pPr>
        <w:tabs>
          <w:tab w:val="left" w:pos="1134"/>
        </w:tabs>
        <w:spacing w:before="156" w:beforeLines="50" w:after="180"/>
        <w:jc w:val="both"/>
        <w:rPr>
          <w:rFonts w:hint="eastAsia" w:ascii="Arial" w:hAnsi="Arial" w:eastAsia="等线" w:cs="Arial"/>
          <w:iCs/>
          <w:sz w:val="20"/>
          <w:lang w:val="en-US" w:eastAsia="zh-CN"/>
        </w:rPr>
      </w:pPr>
    </w:p>
    <w:p>
      <w:pPr>
        <w:spacing w:after="120"/>
        <w:jc w:val="both"/>
        <w:rPr>
          <w:rFonts w:ascii="Arial" w:hAnsi="Arial" w:eastAsia="等线" w:cs="Arial"/>
          <w:b/>
          <w:sz w:val="20"/>
        </w:rPr>
      </w:pPr>
      <w:r>
        <w:rPr>
          <w:rFonts w:ascii="Arial" w:hAnsi="Arial" w:eastAsia="等线" w:cs="Arial"/>
          <w:b/>
          <w:sz w:val="20"/>
        </w:rPr>
        <w:t>2. Actions:</w:t>
      </w:r>
    </w:p>
    <w:p>
      <w:pPr>
        <w:spacing w:after="120"/>
        <w:ind w:left="1985" w:hanging="1985"/>
        <w:jc w:val="both"/>
        <w:rPr>
          <w:rFonts w:hint="eastAsia" w:ascii="Arial" w:hAnsi="Arial" w:eastAsia="等线" w:cs="Arial"/>
          <w:b/>
          <w:color w:val="000000"/>
          <w:sz w:val="20"/>
          <w:lang w:eastAsia="zh-CN"/>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w:t>
      </w:r>
      <w:r>
        <w:rPr>
          <w:rFonts w:hint="eastAsia" w:ascii="Arial" w:hAnsi="Arial" w:eastAsia="等线" w:cs="Arial"/>
          <w:b/>
          <w:color w:val="000000"/>
          <w:sz w:val="20"/>
          <w:lang w:val="en-US" w:eastAsia="zh-CN"/>
        </w:rPr>
        <w:t>1</w:t>
      </w:r>
    </w:p>
    <w:p>
      <w:pPr>
        <w:spacing w:after="120"/>
        <w:ind w:left="993" w:hanging="993"/>
        <w:jc w:val="both"/>
        <w:rPr>
          <w:rFonts w:ascii="Arial" w:hAnsi="Arial" w:eastAsia="等线" w:cs="Arial"/>
          <w:color w:val="000000"/>
          <w:sz w:val="20"/>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lang w:val="en-US" w:eastAsia="zh-CN"/>
        </w:rPr>
        <w:t xml:space="preserve">kindly </w:t>
      </w:r>
      <w:r>
        <w:rPr>
          <w:rFonts w:ascii="Arial" w:hAnsi="Arial" w:eastAsia="等线" w:cs="Arial"/>
          <w:bCs/>
          <w:color w:val="000000"/>
          <w:sz w:val="20"/>
        </w:rPr>
        <w:t>requests RAN</w:t>
      </w:r>
      <w:r>
        <w:rPr>
          <w:rFonts w:hint="eastAsia" w:ascii="Arial" w:hAnsi="Arial" w:eastAsia="等线" w:cs="Arial"/>
          <w:bCs/>
          <w:color w:val="000000"/>
          <w:sz w:val="20"/>
          <w:lang w:val="en-US" w:eastAsia="zh-CN"/>
        </w:rPr>
        <w:t>1</w:t>
      </w:r>
      <w:r>
        <w:rPr>
          <w:rFonts w:ascii="Arial" w:hAnsi="Arial" w:eastAsia="等线" w:cs="Arial"/>
          <w:bCs/>
          <w:color w:val="000000"/>
          <w:sz w:val="20"/>
        </w:rPr>
        <w:t xml:space="preserve"> to </w:t>
      </w:r>
      <w:r>
        <w:rPr>
          <w:rFonts w:hint="eastAsia" w:ascii="Arial" w:hAnsi="Arial" w:eastAsia="等线" w:cs="Arial"/>
          <w:bCs/>
          <w:color w:val="000000"/>
          <w:sz w:val="20"/>
          <w:lang w:val="en-US" w:eastAsia="zh-CN"/>
        </w:rPr>
        <w:t xml:space="preserve">introduce Layer-1 ATG UE features into Rel-18 RAN1 UE feature list with </w:t>
      </w:r>
      <w:r>
        <w:rPr>
          <w:rFonts w:ascii="Arial" w:hAnsi="Arial" w:eastAsia="等线" w:cs="Arial"/>
          <w:bCs/>
          <w:color w:val="000000"/>
          <w:sz w:val="20"/>
        </w:rPr>
        <w:t>tak</w:t>
      </w:r>
      <w:r>
        <w:rPr>
          <w:rFonts w:hint="eastAsia" w:ascii="Arial" w:hAnsi="Arial" w:eastAsia="等线" w:cs="Arial"/>
          <w:bCs/>
          <w:color w:val="000000"/>
          <w:sz w:val="20"/>
          <w:lang w:val="en-US" w:eastAsia="zh-CN"/>
        </w:rPr>
        <w:t>ing</w:t>
      </w:r>
      <w:r>
        <w:rPr>
          <w:rFonts w:ascii="Arial" w:hAnsi="Arial" w:eastAsia="等线" w:cs="Arial"/>
          <w:bCs/>
          <w:color w:val="000000"/>
          <w:sz w:val="20"/>
        </w:rPr>
        <w:t xml:space="preserve"> the above information into consideration.</w:t>
      </w:r>
    </w:p>
    <w:p>
      <w:pPr>
        <w:spacing w:after="120"/>
        <w:ind w:left="1985" w:hanging="1985"/>
        <w:jc w:val="both"/>
        <w:rPr>
          <w:rFonts w:ascii="Arial" w:hAnsi="Arial" w:eastAsia="等线" w:cs="Arial"/>
          <w:b/>
          <w:color w:val="000000"/>
          <w:sz w:val="20"/>
        </w:rPr>
      </w:pPr>
      <w:r>
        <w:rPr>
          <w:rFonts w:ascii="Arial" w:hAnsi="Arial" w:eastAsia="等线" w:cs="Arial"/>
          <w:b/>
          <w:color w:val="000000"/>
          <w:sz w:val="20"/>
        </w:rPr>
        <w:t>To</w:t>
      </w:r>
      <w:r>
        <w:rPr>
          <w:rFonts w:hint="eastAsia" w:ascii="Arial" w:hAnsi="Arial" w:eastAsia="等线" w:cs="Arial"/>
          <w:b/>
          <w:color w:val="000000"/>
          <w:sz w:val="20"/>
        </w:rPr>
        <w:t xml:space="preserve"> </w:t>
      </w:r>
      <w:r>
        <w:rPr>
          <w:rFonts w:ascii="Arial" w:hAnsi="Arial" w:eastAsia="等线" w:cs="Arial"/>
          <w:b/>
          <w:color w:val="000000"/>
          <w:sz w:val="20"/>
        </w:rPr>
        <w:t>RAN2</w:t>
      </w:r>
    </w:p>
    <w:p>
      <w:pPr>
        <w:spacing w:after="120"/>
        <w:ind w:left="993" w:hanging="993"/>
        <w:jc w:val="both"/>
        <w:rPr>
          <w:rFonts w:hint="default" w:ascii="Arial" w:hAnsi="Arial" w:eastAsia="等线" w:cs="Arial"/>
          <w:bCs/>
          <w:color w:val="000000"/>
          <w:sz w:val="20"/>
          <w:lang w:val="en-US" w:eastAsia="zh-CN"/>
        </w:rPr>
      </w:pPr>
      <w:r>
        <w:rPr>
          <w:rFonts w:ascii="Arial" w:hAnsi="Arial" w:eastAsia="等线" w:cs="Arial"/>
          <w:b/>
          <w:color w:val="000000"/>
          <w:sz w:val="20"/>
        </w:rPr>
        <w:t xml:space="preserve">ACTION: </w:t>
      </w:r>
      <w:r>
        <w:rPr>
          <w:rFonts w:ascii="Arial" w:hAnsi="Arial" w:eastAsia="等线" w:cs="Arial"/>
          <w:b/>
          <w:color w:val="000000"/>
          <w:sz w:val="20"/>
        </w:rPr>
        <w:tab/>
      </w:r>
      <w:r>
        <w:rPr>
          <w:rFonts w:ascii="Arial" w:hAnsi="Arial" w:eastAsia="等线" w:cs="Arial"/>
          <w:bCs/>
          <w:color w:val="000000"/>
          <w:sz w:val="20"/>
        </w:rPr>
        <w:t xml:space="preserve">RAN4 </w:t>
      </w:r>
      <w:r>
        <w:rPr>
          <w:rFonts w:hint="eastAsia" w:ascii="Arial" w:hAnsi="Arial" w:eastAsia="等线" w:cs="Arial"/>
          <w:bCs/>
          <w:color w:val="000000"/>
          <w:sz w:val="20"/>
          <w:lang w:val="en-US" w:eastAsia="zh-CN"/>
        </w:rPr>
        <w:t xml:space="preserve">kindly </w:t>
      </w:r>
      <w:r>
        <w:rPr>
          <w:rFonts w:ascii="Arial" w:hAnsi="Arial" w:eastAsia="等线" w:cs="Arial"/>
          <w:bCs/>
          <w:color w:val="000000"/>
          <w:sz w:val="20"/>
        </w:rPr>
        <w:t>requests RAN</w:t>
      </w:r>
      <w:r>
        <w:rPr>
          <w:rFonts w:hint="eastAsia" w:ascii="Arial" w:hAnsi="Arial" w:eastAsia="等线" w:cs="Arial"/>
          <w:bCs/>
          <w:color w:val="000000"/>
          <w:sz w:val="20"/>
          <w:lang w:val="en-US" w:eastAsia="zh-CN"/>
        </w:rPr>
        <w:t>2</w:t>
      </w:r>
      <w:r>
        <w:rPr>
          <w:rFonts w:ascii="Arial" w:hAnsi="Arial" w:eastAsia="等线" w:cs="Arial"/>
          <w:bCs/>
          <w:color w:val="000000"/>
          <w:sz w:val="20"/>
        </w:rPr>
        <w:t xml:space="preserve"> to </w:t>
      </w:r>
      <w:r>
        <w:rPr>
          <w:rFonts w:hint="eastAsia" w:ascii="Arial" w:hAnsi="Arial" w:eastAsia="等线" w:cs="Arial"/>
          <w:bCs/>
          <w:color w:val="000000"/>
          <w:sz w:val="20"/>
          <w:lang w:val="en-US" w:eastAsia="zh-CN"/>
        </w:rPr>
        <w:t xml:space="preserve">introduce Layer-2/3 ATG UE features with </w:t>
      </w:r>
      <w:r>
        <w:rPr>
          <w:rFonts w:ascii="Arial" w:hAnsi="Arial" w:eastAsia="等线" w:cs="Arial"/>
          <w:bCs/>
          <w:color w:val="000000"/>
          <w:sz w:val="20"/>
        </w:rPr>
        <w:t>tak</w:t>
      </w:r>
      <w:r>
        <w:rPr>
          <w:rFonts w:hint="eastAsia" w:ascii="Arial" w:hAnsi="Arial" w:eastAsia="等线" w:cs="Arial"/>
          <w:bCs/>
          <w:color w:val="000000"/>
          <w:sz w:val="20"/>
          <w:lang w:val="en-US" w:eastAsia="zh-CN"/>
        </w:rPr>
        <w:t>ing</w:t>
      </w:r>
      <w:r>
        <w:rPr>
          <w:rFonts w:ascii="Arial" w:hAnsi="Arial" w:eastAsia="等线" w:cs="Arial"/>
          <w:bCs/>
          <w:color w:val="000000"/>
          <w:sz w:val="20"/>
        </w:rPr>
        <w:t xml:space="preserve"> the above information into consideration</w:t>
      </w:r>
      <w:r>
        <w:rPr>
          <w:rFonts w:hint="eastAsia" w:ascii="Arial" w:hAnsi="Arial" w:eastAsia="等线" w:cs="Arial"/>
          <w:bCs/>
          <w:color w:val="000000"/>
          <w:sz w:val="20"/>
          <w:lang w:val="en-US" w:eastAsia="zh-CN"/>
        </w:rPr>
        <w:t>, and introduce UE capabilities of Layer-1/2/3 UE features.</w:t>
      </w:r>
    </w:p>
    <w:p>
      <w:pPr>
        <w:spacing w:after="120"/>
        <w:ind w:left="993" w:hanging="993"/>
        <w:jc w:val="both"/>
        <w:rPr>
          <w:rFonts w:ascii="Arial" w:hAnsi="Arial" w:eastAsia="等线" w:cs="Arial"/>
          <w:sz w:val="20"/>
        </w:rPr>
      </w:pPr>
    </w:p>
    <w:p>
      <w:pPr>
        <w:tabs>
          <w:tab w:val="left" w:pos="5507"/>
        </w:tabs>
        <w:rPr>
          <w:rFonts w:ascii="Arial" w:hAnsi="Arial" w:eastAsia="等线" w:cs="Arial"/>
          <w:b/>
          <w:sz w:val="20"/>
        </w:rPr>
      </w:pPr>
      <w:r>
        <w:rPr>
          <w:rFonts w:ascii="Arial" w:hAnsi="Arial" w:eastAsia="等线" w:cs="Arial"/>
          <w:b/>
          <w:sz w:val="20"/>
        </w:rPr>
        <w:t>3. Date of Next TSG-RAN WG4 Meetings:</w:t>
      </w:r>
      <w:r>
        <w:rPr>
          <w:rFonts w:ascii="Arial" w:hAnsi="Arial" w:eastAsia="等线" w:cs="Arial"/>
          <w:b/>
          <w:sz w:val="20"/>
        </w:rPr>
        <w:tab/>
      </w:r>
    </w:p>
    <w:p>
      <w:pPr>
        <w:tabs>
          <w:tab w:val="left" w:pos="4430"/>
        </w:tabs>
        <w:ind w:left="2268" w:hanging="2268"/>
        <w:rPr>
          <w:rFonts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10</w:t>
      </w:r>
      <w:r>
        <w:rPr>
          <w:rFonts w:ascii="Arial" w:hAnsi="Arial" w:eastAsia="宋体" w:cs="Arial"/>
          <w:bCs/>
          <w:sz w:val="20"/>
          <w:szCs w:val="20"/>
          <w:lang w:val="en-GB" w:eastAsia="en-US"/>
        </w:rPr>
        <w:t xml:space="preserve">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26 Feb</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GB" w:eastAsia="en-US"/>
        </w:rPr>
        <w:t>01 Mar</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4</w:t>
      </w:r>
      <w:r>
        <w:rPr>
          <w:rFonts w:ascii="Arial" w:hAnsi="Arial" w:eastAsia="宋体" w:cs="Arial"/>
          <w:bCs/>
          <w:sz w:val="20"/>
          <w:szCs w:val="20"/>
          <w:lang w:val="en-GB" w:eastAsia="en-US"/>
        </w:rPr>
        <w:tab/>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Athens , GR</w:t>
      </w:r>
    </w:p>
    <w:p>
      <w:pPr>
        <w:tabs>
          <w:tab w:val="left" w:pos="4430"/>
        </w:tabs>
        <w:ind w:left="2268" w:hanging="2268"/>
        <w:rPr>
          <w:rFonts w:ascii="Arial" w:hAnsi="Arial" w:eastAsia="宋体" w:cs="Arial"/>
          <w:bCs/>
          <w:sz w:val="20"/>
          <w:szCs w:val="20"/>
          <w:lang w:val="en-GB" w:eastAsia="en-US"/>
        </w:rPr>
      </w:pPr>
      <w:r>
        <w:rPr>
          <w:rFonts w:ascii="Arial" w:hAnsi="Arial" w:eastAsia="宋体" w:cs="Arial"/>
          <w:bCs/>
          <w:sz w:val="20"/>
          <w:szCs w:val="20"/>
          <w:lang w:val="en-GB" w:eastAsia="en-US"/>
        </w:rPr>
        <w:t>TSG-RAN WG4 Meeting #1</w:t>
      </w:r>
      <w:r>
        <w:rPr>
          <w:rFonts w:hint="eastAsia" w:ascii="Arial" w:hAnsi="Arial" w:eastAsia="宋体" w:cs="Arial"/>
          <w:bCs/>
          <w:sz w:val="20"/>
          <w:szCs w:val="20"/>
          <w:lang w:val="en-US" w:eastAsia="zh-CN"/>
        </w:rPr>
        <w:t>10</w:t>
      </w:r>
      <w:r>
        <w:rPr>
          <w:rFonts w:ascii="Arial" w:hAnsi="Arial" w:eastAsia="宋体" w:cs="Arial"/>
          <w:bCs/>
          <w:sz w:val="20"/>
          <w:szCs w:val="20"/>
          <w:lang w:val="en-GB" w:eastAsia="en-US"/>
        </w:rPr>
        <w:t xml:space="preserve">-bis </w:t>
      </w:r>
      <w:r>
        <w:rPr>
          <w:rFonts w:ascii="Arial" w:hAnsi="Arial" w:eastAsia="宋体" w:cs="Arial"/>
          <w:bCs/>
          <w:sz w:val="20"/>
          <w:szCs w:val="20"/>
          <w:lang w:val="en-GB" w:eastAsia="en-US"/>
        </w:rPr>
        <w:tab/>
      </w:r>
      <w:r>
        <w:rPr>
          <w:rFonts w:hint="eastAsia" w:ascii="Arial" w:hAnsi="Arial" w:eastAsia="宋体" w:cs="Arial"/>
          <w:bCs/>
          <w:sz w:val="20"/>
          <w:szCs w:val="20"/>
          <w:lang w:val="en-GB" w:eastAsia="en-US"/>
        </w:rPr>
        <w:t xml:space="preserve">15 Apr </w:t>
      </w:r>
      <w:r>
        <w:rPr>
          <w:rFonts w:ascii="Arial" w:hAnsi="Arial" w:eastAsia="宋体" w:cs="Arial"/>
          <w:bCs/>
          <w:sz w:val="20"/>
          <w:szCs w:val="20"/>
          <w:lang w:val="en-GB" w:eastAsia="en-US"/>
        </w:rPr>
        <w:t xml:space="preserve"> - </w:t>
      </w:r>
      <w:r>
        <w:rPr>
          <w:rFonts w:hint="eastAsia" w:ascii="Arial" w:hAnsi="Arial" w:eastAsia="宋体" w:cs="Arial"/>
          <w:bCs/>
          <w:sz w:val="20"/>
          <w:szCs w:val="20"/>
          <w:lang w:val="en-GB" w:eastAsia="en-US"/>
        </w:rPr>
        <w:t>19 Apr</w:t>
      </w:r>
      <w:r>
        <w:rPr>
          <w:rFonts w:ascii="Arial" w:hAnsi="Arial" w:eastAsia="宋体" w:cs="Arial"/>
          <w:bCs/>
          <w:sz w:val="20"/>
          <w:szCs w:val="20"/>
          <w:lang w:val="en-GB" w:eastAsia="en-US"/>
        </w:rPr>
        <w:t xml:space="preserve"> 202</w:t>
      </w:r>
      <w:r>
        <w:rPr>
          <w:rFonts w:hint="eastAsia" w:ascii="Arial" w:hAnsi="Arial" w:eastAsia="宋体" w:cs="Arial"/>
          <w:bCs/>
          <w:sz w:val="20"/>
          <w:szCs w:val="20"/>
          <w:lang w:val="en-US" w:eastAsia="zh-CN"/>
        </w:rPr>
        <w:t>4</w:t>
      </w:r>
      <w:r>
        <w:rPr>
          <w:rFonts w:ascii="Arial" w:hAnsi="Arial" w:eastAsia="宋体" w:cs="Arial"/>
          <w:bCs/>
          <w:sz w:val="20"/>
          <w:szCs w:val="20"/>
          <w:lang w:val="en-GB" w:eastAsia="en-US"/>
        </w:rPr>
        <w:tab/>
      </w:r>
      <w:r>
        <w:rPr>
          <w:rFonts w:ascii="Arial" w:hAnsi="Arial" w:eastAsia="宋体" w:cs="Arial"/>
          <w:bCs/>
          <w:sz w:val="20"/>
          <w:szCs w:val="20"/>
          <w:lang w:val="en-GB" w:eastAsia="en-US"/>
        </w:rPr>
        <w:t xml:space="preserve">       </w:t>
      </w:r>
      <w:r>
        <w:rPr>
          <w:rFonts w:hint="eastAsia" w:ascii="Arial" w:hAnsi="Arial" w:eastAsia="宋体" w:cs="Arial"/>
          <w:bCs/>
          <w:sz w:val="20"/>
          <w:szCs w:val="20"/>
          <w:lang w:val="en-GB" w:eastAsia="en-US"/>
        </w:rPr>
        <w:t>China (TBC) , CN</w:t>
      </w:r>
    </w:p>
    <w:bookmarkEnd w:id="9"/>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hint="eastAsia" w:ascii="Times New Roman" w:hAnsi="Times New Roman"/>
          <w:b w:val="0"/>
          <w:bCs w:val="0"/>
          <w:kern w:val="0"/>
          <w:sz w:val="36"/>
          <w:szCs w:val="36"/>
          <w:lang w:val="en-US" w:eastAsia="zh-CN"/>
        </w:rPr>
        <w:t>Annex</w:t>
      </w:r>
    </w:p>
    <w:p>
      <w:pPr>
        <w:spacing w:before="60"/>
        <w:jc w:val="both"/>
        <w:rPr>
          <w:rFonts w:hint="default"/>
          <w:sz w:val="20"/>
          <w:szCs w:val="20"/>
          <w:lang w:val="en-US"/>
        </w:rPr>
      </w:pPr>
      <w:r>
        <w:rPr>
          <w:rFonts w:hint="default"/>
          <w:b w:val="0"/>
          <w:bCs w:val="0"/>
          <w:kern w:val="0"/>
          <w:sz w:val="20"/>
          <w:szCs w:val="20"/>
          <w:lang w:val="en-US" w:eastAsia="zh-CN"/>
        </w:rPr>
        <w:t>Related R17 NTN UE features:</w:t>
      </w:r>
    </w:p>
    <w:tbl>
      <w:tblPr>
        <w:tblStyle w:val="19"/>
        <w:tblpPr w:leftFromText="180" w:rightFromText="180" w:vertAnchor="text" w:horzAnchor="page" w:tblpX="1122" w:tblpY="40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6"/>
        <w:gridCol w:w="598"/>
        <w:gridCol w:w="1174"/>
        <w:gridCol w:w="1540"/>
        <w:gridCol w:w="1061"/>
        <w:gridCol w:w="1816"/>
        <w:gridCol w:w="769"/>
        <w:gridCol w:w="1190"/>
        <w:gridCol w:w="1190"/>
        <w:gridCol w:w="1784"/>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Features</w:t>
            </w:r>
          </w:p>
        </w:tc>
        <w:tc>
          <w:tcPr>
            <w:tcW w:w="206"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Index</w:t>
            </w:r>
          </w:p>
        </w:tc>
        <w:tc>
          <w:tcPr>
            <w:tcW w:w="404"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 group</w:t>
            </w:r>
          </w:p>
        </w:tc>
        <w:tc>
          <w:tcPr>
            <w:tcW w:w="529"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Components</w:t>
            </w:r>
          </w:p>
        </w:tc>
        <w:tc>
          <w:tcPr>
            <w:tcW w:w="490"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Prerequisite feature groups</w:t>
            </w:r>
          </w:p>
        </w:tc>
        <w:tc>
          <w:tcPr>
            <w:tcW w:w="623" w:type="pct"/>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ja-JP" w:bidi="ar-SA"/>
              </w:rPr>
            </w:pPr>
            <w:r>
              <w:rPr>
                <w:rFonts w:ascii="Arial" w:hAnsi="Arial" w:eastAsia="Times New Roman" w:cs="Arial"/>
                <w:b/>
                <w:sz w:val="18"/>
                <w:szCs w:val="18"/>
                <w:lang w:val="en-GB" w:eastAsia="ja-JP" w:bidi="ar-SA"/>
              </w:rPr>
              <w:t>Field name in TS 38.331 [2]</w:t>
            </w:r>
          </w:p>
        </w:tc>
        <w:tc>
          <w:tcPr>
            <w:tcW w:w="265" w:type="pct"/>
          </w:tcPr>
          <w:p>
            <w:pPr>
              <w:keepNext/>
              <w:keepLines/>
              <w:overflowPunct w:val="0"/>
              <w:autoSpaceDE w:val="0"/>
              <w:autoSpaceDN w:val="0"/>
              <w:adjustRightInd w:val="0"/>
              <w:spacing w:after="0"/>
              <w:jc w:val="center"/>
              <w:textAlignment w:val="baseline"/>
              <w:rPr>
                <w:rFonts w:ascii="Arial" w:hAnsi="Arial" w:eastAsia="Times New Roman" w:cs="Arial"/>
                <w:b/>
                <w:sz w:val="18"/>
                <w:szCs w:val="18"/>
                <w:lang w:val="en-GB" w:eastAsia="ja-JP" w:bidi="ar-SA"/>
              </w:rPr>
            </w:pPr>
            <w:r>
              <w:rPr>
                <w:rFonts w:ascii="Arial" w:hAnsi="Arial" w:eastAsia="Times New Roman" w:cs="Arial"/>
                <w:b/>
                <w:sz w:val="18"/>
                <w:szCs w:val="18"/>
                <w:lang w:val="en-GB" w:eastAsia="ja-JP" w:bidi="ar-SA"/>
              </w:rPr>
              <w:t>Parent IE in TS 38.331 [2]</w:t>
            </w:r>
          </w:p>
        </w:tc>
        <w:tc>
          <w:tcPr>
            <w:tcW w:w="409"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FDD/TDD differentiation</w:t>
            </w:r>
          </w:p>
        </w:tc>
        <w:tc>
          <w:tcPr>
            <w:tcW w:w="409"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FR1/FR2 differentiation</w:t>
            </w:r>
          </w:p>
        </w:tc>
        <w:tc>
          <w:tcPr>
            <w:tcW w:w="61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Note</w:t>
            </w:r>
          </w:p>
        </w:tc>
        <w:tc>
          <w:tcPr>
            <w:tcW w:w="54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w:t>
            </w:r>
          </w:p>
        </w:tc>
        <w:tc>
          <w:tcPr>
            <w:tcW w:w="404"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Uplink Time and Frequency pre-compensation and timing relationship enhancements</w:t>
            </w:r>
          </w:p>
        </w:tc>
        <w:tc>
          <w:tcPr>
            <w:tcW w:w="52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UE specific TA calculation based on its GNSS-acquired position and the serving satellite ephemeris.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common TA calculation according to the parameters provided by the network (UE considers common TA as 0 if the parameters are not provided)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3.</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For TA update in RRC_CONNECTED state, support of combination of both open (i.e. UE autonomous TA estimation, and common TA estimation) and closed (i.e., received TA commands) control loops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4.</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pre-compensation of the calculated TA in its uplink transmissions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5.</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estimating UE-gNB RTT and delaying the start of RAR window by UE-gNB RTT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6.</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frequency pre-compensation to counter shift the Doppler experienced on the service link</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7.</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determining timing of the scheduling of PUSCH, PUCCH and PDCCH ordered PRACH, CSI reference resource, transmission of aperiodic SRS activation of TA command, first PUSCH transmission in CG Type 2 with cell-specific K_offset if indicated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8.</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UE receiving cell-specific K_offset/K_mac in system information</w:t>
            </w:r>
          </w:p>
        </w:tc>
        <w:tc>
          <w:tcPr>
            <w:tcW w:w="49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en-GB" w:bidi="ar-SA"/>
              </w:rPr>
              <w:t>uplinkPreCompensation-r17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en-GB" w:bidi="ar-SA"/>
              </w:rPr>
              <w:t>BandNR</w:t>
            </w:r>
          </w:p>
        </w:tc>
        <w:tc>
          <w:tcPr>
            <w:tcW w:w="4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An NTN UE is required to at least support UE specific TA and frequency calculation based at least on its GNSS-acquired position and the serving satellite ephemeris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 capability signalling</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For UE supports NR communication via satellite, UE must indicate this FG is supported.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26-4</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UE reporting of information related to TA pre-compensation</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1. Support UE reporting of information related to TA pre-compensation </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w:t>
            </w: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uplink-TA-Reporting-r17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The exact content of UE reporting of information about the TA pre-compensation is up to RAN2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Optionalwith capability signalling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26-5</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Increasing the number of HARQ processes</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 The maximal supported HARQ process number is X for UL and Y for DL</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max-HARQ-ProcessNumber-r17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Candidate component values for (X,Y): {(16,32),(32,16),(32,32)}</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26-9</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UE-specific K_offset </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reception of UE-specific K_offset via MAC-CE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Support of determining the timing of PUSCH, PUCCH, CSI reference resource, transmission of aperiodic SRS, activation of TA command, first PUSCH transmission in CG Type 2 with UE-specific Koffset</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 26-4</w:t>
            </w: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ue-specific-K-Offset-r17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 NR_NTN_solutions</w:t>
            </w:r>
          </w:p>
        </w:tc>
        <w:tc>
          <w:tcPr>
            <w:tcW w:w="206"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26-10</w:t>
            </w:r>
          </w:p>
        </w:tc>
        <w:tc>
          <w:tcPr>
            <w:tcW w:w="404"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K1 range extension</w:t>
            </w:r>
          </w:p>
        </w:tc>
        <w:tc>
          <w:tcPr>
            <w:tcW w:w="52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1.</w:t>
            </w:r>
            <w:r>
              <w:rPr>
                <w:rFonts w:ascii="Arial" w:hAnsi="Arial" w:eastAsia="Times New Roman" w:cs="Times New Roman"/>
                <w:sz w:val="18"/>
                <w:lang w:val="en-GB" w:eastAsia="ko-KR" w:bidi="ar-SA"/>
              </w:rPr>
              <w:tab/>
            </w:r>
            <w:r>
              <w:rPr>
                <w:rFonts w:ascii="Arial" w:hAnsi="Arial" w:eastAsia="Times New Roman" w:cs="Times New Roman"/>
                <w:sz w:val="18"/>
                <w:lang w:val="en-GB" w:eastAsia="ja-JP" w:bidi="ar-SA"/>
              </w:rPr>
              <w:t>Support of extended K1 value range of (0..31) for unpaired spectrum</w:t>
            </w:r>
          </w:p>
        </w:tc>
        <w:tc>
          <w:tcPr>
            <w:tcW w:w="49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2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k1-RangeExtension-r17</w:t>
            </w:r>
          </w:p>
        </w:tc>
        <w:tc>
          <w:tcPr>
            <w:tcW w:w="26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iCs/>
                <w:sz w:val="18"/>
                <w:szCs w:val="18"/>
                <w:lang w:val="en-GB" w:eastAsia="ja-JP" w:bidi="ar-SA"/>
              </w:rPr>
            </w:pPr>
            <w:r>
              <w:rPr>
                <w:rFonts w:ascii="Arial" w:hAnsi="Arial" w:eastAsia="Times New Roman" w:cs="Arial"/>
                <w:i/>
                <w:iCs/>
                <w:sz w:val="18"/>
                <w:szCs w:val="18"/>
                <w:lang w:val="en-GB" w:eastAsia="ja-JP" w:bidi="ar-SA"/>
              </w:rPr>
              <w:t>BandNR</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409"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w:t>
            </w:r>
          </w:p>
        </w:tc>
        <w:tc>
          <w:tcPr>
            <w:tcW w:w="61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Note: This UE feature group is applicable only for bands in Table 5.2.2-1 in TS 38.101-5 and HAPS operation bands in Clause 5.2 of TS 38.104</w:t>
            </w:r>
          </w:p>
        </w:tc>
        <w:tc>
          <w:tcPr>
            <w:tcW w:w="54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Optional with capability signalling </w:t>
            </w:r>
          </w:p>
        </w:tc>
      </w:tr>
    </w:tbl>
    <w:p>
      <w:pPr>
        <w:numPr>
          <w:ilvl w:val="0"/>
          <w:numId w:val="0"/>
        </w:numPr>
        <w:rPr>
          <w:rFonts w:hint="eastAsia"/>
          <w:sz w:val="20"/>
          <w:szCs w:val="20"/>
        </w:rPr>
      </w:pPr>
    </w:p>
    <w:p>
      <w:pPr>
        <w:numPr>
          <w:ilvl w:val="0"/>
          <w:numId w:val="0"/>
        </w:numPr>
        <w:rPr>
          <w:rFonts w:hint="eastAsia"/>
          <w:sz w:val="20"/>
          <w:szCs w:val="20"/>
        </w:rPr>
      </w:pPr>
    </w:p>
    <w:tbl>
      <w:tblPr>
        <w:tblStyle w:val="19"/>
        <w:tblW w:w="5004" w:type="pct"/>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531"/>
        <w:gridCol w:w="1100"/>
        <w:gridCol w:w="1730"/>
        <w:gridCol w:w="1040"/>
        <w:gridCol w:w="2128"/>
        <w:gridCol w:w="2074"/>
        <w:gridCol w:w="1020"/>
        <w:gridCol w:w="1020"/>
        <w:gridCol w:w="1128"/>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bookmarkStart w:id="11" w:name="_Hlk90039734"/>
            <w:r>
              <w:rPr>
                <w:rFonts w:ascii="Arial" w:hAnsi="Arial" w:eastAsia="Times New Roman"/>
                <w:b/>
                <w:sz w:val="18"/>
                <w:szCs w:val="20"/>
                <w:lang w:val="en-GB" w:eastAsia="ja-JP"/>
              </w:rPr>
              <w:t>Features</w:t>
            </w: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Index</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Feature group</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Components</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Prerequisite feature groups</w:t>
            </w:r>
          </w:p>
        </w:tc>
        <w:tc>
          <w:tcPr>
            <w:tcW w:w="7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Field name in TS 38.331 [2]</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Parent IE in TS 38.331 [2]</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Need of FDD/TDD differentiation</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Need of FR1/FR2 differentiation</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Note</w:t>
            </w: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b/>
                <w:sz w:val="18"/>
                <w:szCs w:val="20"/>
                <w:lang w:val="en-GB" w:eastAsia="ja-JP"/>
              </w:rPr>
            </w:pPr>
            <w:r>
              <w:rPr>
                <w:rFonts w:ascii="Arial" w:hAnsi="Arial" w:eastAsia="Times New Roman"/>
                <w:b/>
                <w:sz w:val="18"/>
                <w:szCs w:val="20"/>
                <w:lang w:val="en-GB" w:eastAsia="ja-JP"/>
              </w:rPr>
              <w:t>Mandatory/Optional</w:t>
            </w:r>
          </w:p>
        </w:tc>
      </w:tr>
      <w:bookmarkEnd w:id="1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restart"/>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Arial" w:hAnsi="Arial"/>
                <w:sz w:val="18"/>
              </w:rPr>
            </w:pPr>
            <w:r>
              <w:rPr>
                <w:rFonts w:ascii="Arial" w:hAnsi="Arial"/>
                <w:sz w:val="18"/>
              </w:rPr>
              <w:t>34. NR_NTN_solutions-Core</w:t>
            </w:r>
          </w:p>
          <w:p>
            <w:pPr>
              <w:overflowPunct w:val="0"/>
              <w:autoSpaceDE w:val="0"/>
              <w:autoSpaceDN w:val="0"/>
              <w:adjustRightInd w:val="0"/>
              <w:spacing w:after="0"/>
              <w:textAlignment w:val="baseline"/>
              <w:rPr>
                <w:rFonts w:ascii="Arial" w:hAnsi="Arial"/>
                <w:sz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Malgun Gothic"/>
                <w:sz w:val="18"/>
                <w:szCs w:val="20"/>
                <w:lang w:val="en-GB" w:eastAsia="en-US"/>
              </w:rPr>
              <w:t>34-4</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MS Mincho"/>
                <w:sz w:val="18"/>
                <w:szCs w:val="24"/>
                <w:lang w:val="en-GB" w:eastAsia="en-GB"/>
              </w:rPr>
              <w:t>Location based CHO</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cs="Arial"/>
                <w:sz w:val="18"/>
                <w:szCs w:val="20"/>
                <w:lang w:val="en-GB" w:eastAsia="zh-CN"/>
              </w:rPr>
              <w:t>Indicates whether the UE supports location based CHO</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 and condHandover-r16 is set for NTN bands.</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locationBasedCondHandover-r17</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BandNR</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val="en-GB" w:eastAsia="ja-JP"/>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18"/>
                <w:lang w:val="en-GB" w:eastAsia="ja-JP"/>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UE shall set the capability value consistently for all FDD-FR1 NTN bands.</w:t>
            </w: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34-6</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Event A4 based CHO</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20"/>
                <w:lang w:val="en-GB" w:eastAsia="zh-CN"/>
              </w:rPr>
            </w:pPr>
            <w:r>
              <w:rPr>
                <w:rFonts w:ascii="Arial" w:hAnsi="Arial" w:eastAsia="Times New Roman" w:cs="Arial"/>
                <w:sz w:val="18"/>
                <w:szCs w:val="20"/>
                <w:lang w:val="en-GB" w:eastAsia="zh-CN"/>
              </w:rPr>
              <w:t>Indicates whether the UE supports Event A4 based CHO</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 and condHandover-r16 is set for NTN bands.</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eventA4BasedCondHandover-r17</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BandNR</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UE shall set the capability value consistently for all FDD-FR1 NTN bands.</w:t>
            </w: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34-7</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SR triggered by a TA report</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20"/>
                <w:lang w:val="en-GB" w:eastAsia="zh-CN"/>
              </w:rPr>
            </w:pPr>
            <w:r>
              <w:rPr>
                <w:rFonts w:ascii="Arial" w:hAnsi="Arial" w:eastAsia="Times New Roman" w:cs="Arial"/>
                <w:sz w:val="18"/>
                <w:szCs w:val="20"/>
                <w:lang w:val="en-GB" w:eastAsia="zh-CN"/>
              </w:rPr>
              <w:t xml:space="preserve">Indicates whether the UE supports triggering of SR when a TA report is triggered and there are no available UL-SCH resources. </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Times New Roman" w:cs="Arial"/>
                <w:i/>
                <w:sz w:val="18"/>
                <w:szCs w:val="20"/>
                <w:lang w:val="en-GB" w:eastAsia="zh-CN"/>
              </w:rPr>
              <w:t>sr-TriggeredBy-TA-Report-r17</w:t>
            </w:r>
          </w:p>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MAC-ParametersCommon</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34-13</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Location-based measurement report trigger</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20"/>
                <w:lang w:val="en-GB" w:eastAsia="zh-CN"/>
              </w:rPr>
            </w:pPr>
            <w:r>
              <w:rPr>
                <w:rFonts w:ascii="Arial" w:hAnsi="Arial" w:eastAsia="Times New Roman"/>
                <w:sz w:val="18"/>
                <w:szCs w:val="20"/>
                <w:lang w:val="en-GB" w:eastAsia="ja-JP"/>
              </w:rPr>
              <w:t>Indicates whether the UE supports location-based triggered measurement reporting (i.e., event D1)</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34-4</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Times New Roman" w:cs="Arial"/>
                <w:i/>
                <w:sz w:val="18"/>
                <w:szCs w:val="20"/>
                <w:lang w:val="en-GB" w:eastAsia="zh-CN"/>
              </w:rPr>
              <w:t>eventD1-MeasReportTrigger-r17</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MeasAndMobParametersCommon</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34-14</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Times New Roman"/>
                <w:sz w:val="18"/>
                <w:szCs w:val="20"/>
                <w:lang w:val="en-GB" w:eastAsia="ja-JP"/>
              </w:rPr>
              <w:t>RRC_INACTIVE in NTN</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Indicates whether the UE supports RRC_INACTIVE in NTN</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34-1</w:t>
            </w:r>
          </w:p>
        </w:tc>
        <w:tc>
          <w:tcPr>
            <w:tcW w:w="749" w:type="pct"/>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Times New Roman" w:cs="Arial"/>
                <w:i/>
                <w:sz w:val="18"/>
                <w:szCs w:val="20"/>
                <w:lang w:val="en-GB" w:eastAsia="zh-CN"/>
              </w:rPr>
              <w:t>inactiveStateNTN-r17</w:t>
            </w:r>
          </w:p>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Times New Roman"/>
                <w:i/>
                <w:sz w:val="18"/>
                <w:szCs w:val="20"/>
                <w:lang w:val="en-GB" w:eastAsia="ja-JP"/>
              </w:rPr>
              <w:t>NTN-Parameters-r17</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No</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Times New Roman" w:cs="Arial"/>
                <w:sz w:val="18"/>
                <w:szCs w:val="18"/>
                <w:lang w:val="en-GB" w:eastAsia="zh-CN"/>
              </w:rPr>
              <w:t>Conditional mandatory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453" w:type="pct"/>
            <w:vMerge w:val="continue"/>
            <w:tcBorders>
              <w:left w:val="single" w:color="auto" w:sz="4" w:space="0"/>
              <w:right w:val="single" w:color="auto" w:sz="4" w:space="0"/>
            </w:tcBorders>
            <w:vAlign w:val="center"/>
          </w:tcPr>
          <w:p>
            <w:pPr>
              <w:overflowPunct w:val="0"/>
              <w:autoSpaceDE w:val="0"/>
              <w:autoSpaceDN w:val="0"/>
              <w:adjustRightInd w:val="0"/>
              <w:spacing w:after="0"/>
              <w:textAlignment w:val="baseline"/>
              <w:rPr>
                <w:rFonts w:ascii="Calibri Light" w:hAnsi="Calibri Light" w:eastAsia="Times New Roman" w:cs="Calibri Light"/>
                <w:sz w:val="18"/>
                <w:szCs w:val="18"/>
                <w:lang w:val="en-GB" w:eastAsia="ja-JP"/>
              </w:rPr>
            </w:pPr>
          </w:p>
        </w:tc>
        <w:tc>
          <w:tcPr>
            <w:tcW w:w="1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Malgun Gothic"/>
                <w:sz w:val="18"/>
                <w:szCs w:val="20"/>
                <w:lang w:val="en-GB" w:eastAsia="en-US"/>
              </w:rPr>
              <w:t>34-17</w:t>
            </w:r>
          </w:p>
        </w:tc>
        <w:tc>
          <w:tcPr>
            <w:tcW w:w="38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S Mincho"/>
                <w:sz w:val="18"/>
                <w:szCs w:val="24"/>
                <w:lang w:val="en-GB" w:eastAsia="en-GB"/>
              </w:rPr>
            </w:pPr>
            <w:r>
              <w:rPr>
                <w:rFonts w:ascii="Arial" w:hAnsi="Arial" w:eastAsia="MS Mincho"/>
                <w:sz w:val="18"/>
                <w:szCs w:val="24"/>
                <w:lang w:val="en-GB" w:eastAsia="en-GB"/>
              </w:rPr>
              <w:t>TA reporting during initial access</w:t>
            </w:r>
          </w:p>
        </w:tc>
        <w:tc>
          <w:tcPr>
            <w:tcW w:w="60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r>
              <w:rPr>
                <w:rFonts w:ascii="Arial" w:hAnsi="Arial" w:eastAsia="Times New Roman"/>
                <w:sz w:val="18"/>
                <w:szCs w:val="20"/>
                <w:lang w:val="en-GB" w:eastAsia="ja-JP"/>
              </w:rPr>
              <w:t>It is mandatory to support TA reporting during initial access for UEs supporting uplink-TA-Reporting-r17 as specified in TS 38.321 [10].</w:t>
            </w:r>
          </w:p>
        </w:tc>
        <w:tc>
          <w:tcPr>
            <w:tcW w:w="366"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180"/>
              <w:textAlignment w:val="baseline"/>
              <w:rPr>
                <w:rFonts w:ascii="Arial" w:hAnsi="Arial" w:eastAsia="Times New Roman"/>
                <w:i/>
                <w:sz w:val="18"/>
                <w:szCs w:val="20"/>
                <w:lang w:val="en-GB" w:eastAsia="ja-JP"/>
              </w:rPr>
            </w:pPr>
          </w:p>
        </w:tc>
        <w:tc>
          <w:tcPr>
            <w:tcW w:w="74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i/>
                <w:sz w:val="18"/>
                <w:szCs w:val="20"/>
                <w:lang w:val="en-GB" w:eastAsia="zh-CN"/>
              </w:rPr>
            </w:pPr>
            <w:r>
              <w:rPr>
                <w:rFonts w:ascii="Arial" w:hAnsi="Arial" w:eastAsia="等线"/>
                <w:i/>
                <w:sz w:val="18"/>
                <w:szCs w:val="20"/>
                <w:lang w:val="en-GB" w:eastAsia="en-US"/>
              </w:rPr>
              <w:t>n/a</w:t>
            </w:r>
          </w:p>
        </w:tc>
        <w:tc>
          <w:tcPr>
            <w:tcW w:w="730"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i/>
                <w:sz w:val="18"/>
                <w:szCs w:val="20"/>
                <w:lang w:val="en-GB" w:eastAsia="ja-JP"/>
              </w:rPr>
            </w:pPr>
            <w:r>
              <w:rPr>
                <w:rFonts w:ascii="Arial" w:hAnsi="Arial" w:eastAsia="等线"/>
                <w:i/>
                <w:sz w:val="18"/>
                <w:szCs w:val="20"/>
                <w:lang w:val="en-GB" w:eastAsia="en-US"/>
              </w:rPr>
              <w:t>n/a</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等线"/>
                <w:sz w:val="18"/>
                <w:szCs w:val="20"/>
                <w:lang w:val="en-GB" w:eastAsia="en-US"/>
              </w:rPr>
              <w:t>n/a</w:t>
            </w:r>
          </w:p>
        </w:tc>
        <w:tc>
          <w:tcPr>
            <w:tcW w:w="359"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sz w:val="18"/>
                <w:szCs w:val="20"/>
                <w:lang w:val="en-GB" w:eastAsia="en-US"/>
              </w:rPr>
            </w:pPr>
            <w:r>
              <w:rPr>
                <w:rFonts w:ascii="Arial" w:hAnsi="Arial" w:eastAsia="等线"/>
                <w:sz w:val="18"/>
                <w:szCs w:val="20"/>
                <w:lang w:val="en-GB" w:eastAsia="en-US"/>
              </w:rPr>
              <w:t>n/a</w:t>
            </w:r>
          </w:p>
        </w:tc>
        <w:tc>
          <w:tcPr>
            <w:tcW w:w="397"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sz w:val="18"/>
                <w:szCs w:val="20"/>
                <w:lang w:val="en-GB" w:eastAsia="ja-JP"/>
              </w:rPr>
            </w:pPr>
          </w:p>
        </w:tc>
        <w:tc>
          <w:tcPr>
            <w:tcW w:w="398"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rPr>
            </w:pPr>
            <w:r>
              <w:rPr>
                <w:rFonts w:ascii="Arial" w:hAnsi="Arial" w:eastAsia="Malgun Gothic"/>
                <w:sz w:val="18"/>
                <w:szCs w:val="20"/>
                <w:lang w:val="en-GB" w:eastAsia="en-US"/>
              </w:rPr>
              <w:t>Conditional mandatory without capability signalling</w:t>
            </w:r>
          </w:p>
        </w:tc>
      </w:tr>
    </w:tbl>
    <w:p>
      <w:pPr>
        <w:numPr>
          <w:ilvl w:val="0"/>
          <w:numId w:val="0"/>
        </w:numPr>
        <w:rPr>
          <w:rFonts w:hint="eastAsia"/>
          <w:sz w:val="20"/>
          <w:szCs w:val="20"/>
        </w:rPr>
      </w:pPr>
    </w:p>
    <w:p>
      <w:pPr>
        <w:numPr>
          <w:ilvl w:val="0"/>
          <w:numId w:val="0"/>
        </w:numPr>
        <w:rPr>
          <w:rFonts w:hint="eastAsia"/>
          <w:sz w:val="20"/>
          <w:szCs w:val="20"/>
        </w:rPr>
      </w:pPr>
    </w:p>
    <w:tbl>
      <w:tblPr>
        <w:tblStyle w:val="19"/>
        <w:tblpPr w:leftFromText="180" w:rightFromText="180" w:vertAnchor="text" w:horzAnchor="page" w:tblpX="1122" w:tblpY="403"/>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7"/>
        <w:gridCol w:w="687"/>
        <w:gridCol w:w="1407"/>
        <w:gridCol w:w="1317"/>
        <w:gridCol w:w="1257"/>
        <w:gridCol w:w="1618"/>
        <w:gridCol w:w="777"/>
        <w:gridCol w:w="1416"/>
        <w:gridCol w:w="1416"/>
        <w:gridCol w:w="616"/>
        <w:gridCol w:w="19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Features</w:t>
            </w:r>
          </w:p>
        </w:tc>
        <w:tc>
          <w:tcPr>
            <w:tcW w:w="22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Index</w:t>
            </w:r>
          </w:p>
        </w:tc>
        <w:tc>
          <w:tcPr>
            <w:tcW w:w="45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Feature group</w:t>
            </w:r>
          </w:p>
        </w:tc>
        <w:tc>
          <w:tcPr>
            <w:tcW w:w="45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Components</w:t>
            </w:r>
          </w:p>
        </w:tc>
        <w:tc>
          <w:tcPr>
            <w:tcW w:w="40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Prerequisite feature groups</w:t>
            </w:r>
          </w:p>
        </w:tc>
        <w:tc>
          <w:tcPr>
            <w:tcW w:w="752"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Field name in TS 38.331 [2]</w:t>
            </w:r>
          </w:p>
        </w:tc>
        <w:tc>
          <w:tcPr>
            <w:tcW w:w="291"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Parent IE in TS 38.331 [2]</w:t>
            </w:r>
          </w:p>
        </w:tc>
        <w:tc>
          <w:tcPr>
            <w:tcW w:w="45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FDD/TDD differentiation</w:t>
            </w:r>
          </w:p>
        </w:tc>
        <w:tc>
          <w:tcPr>
            <w:tcW w:w="45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Need of FR1/FR2 differentiation</w:t>
            </w:r>
          </w:p>
        </w:tc>
        <w:tc>
          <w:tcPr>
            <w:tcW w:w="335"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Note</w:t>
            </w:r>
          </w:p>
        </w:tc>
        <w:tc>
          <w:tcPr>
            <w:tcW w:w="610" w:type="pct"/>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25. NR_NTN_solutions</w:t>
            </w:r>
          </w:p>
        </w:tc>
        <w:tc>
          <w:tcPr>
            <w:tcW w:w="22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25-4</w:t>
            </w:r>
          </w:p>
        </w:tc>
        <w:tc>
          <w:tcPr>
            <w:tcW w:w="45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Enhanced RRM requirements for measurements in IDLE and INACTIVE modes</w:t>
            </w:r>
          </w:p>
        </w:tc>
        <w:tc>
          <w:tcPr>
            <w:tcW w:w="45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If UE does not support the capability, other NTN measurement requirements (as specified in TS 38.133, clause 4.2C.2) are applied for both LEO and GEO.</w:t>
            </w:r>
          </w:p>
        </w:tc>
        <w:tc>
          <w:tcPr>
            <w:tcW w:w="40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75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n/a</w:t>
            </w:r>
          </w:p>
        </w:tc>
        <w:tc>
          <w:tcPr>
            <w:tcW w:w="291"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n/a</w:t>
            </w:r>
          </w:p>
        </w:tc>
        <w:tc>
          <w:tcPr>
            <w:tcW w:w="45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FDD only</w:t>
            </w:r>
          </w:p>
        </w:tc>
        <w:tc>
          <w:tcPr>
            <w:tcW w:w="45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FR1 only</w:t>
            </w:r>
          </w:p>
        </w:tc>
        <w:tc>
          <w:tcPr>
            <w:tcW w:w="33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610"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Optional without capability signaling</w:t>
            </w:r>
          </w:p>
        </w:tc>
      </w:tr>
    </w:tbl>
    <w:p>
      <w:pPr>
        <w:numPr>
          <w:ilvl w:val="0"/>
          <w:numId w:val="0"/>
        </w:numPr>
        <w:rPr>
          <w:rFonts w:hint="eastAsia"/>
          <w:sz w:val="20"/>
          <w:szCs w:val="20"/>
        </w:rPr>
      </w:pPr>
    </w:p>
    <w:sectPr>
      <w:pgSz w:w="16840" w:h="11900" w:orient="landscape"/>
      <w:pgMar w:top="1800" w:right="1440" w:bottom="985"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Yu Mincho">
    <w:altName w:val="MS Mincho"/>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2EA229"/>
    <w:multiLevelType w:val="singleLevel"/>
    <w:tmpl w:val="1F2EA229"/>
    <w:lvl w:ilvl="0" w:tentative="0">
      <w:start w:val="1"/>
      <w:numFmt w:val="bullet"/>
      <w:lvlText w:val=""/>
      <w:lvlJc w:val="left"/>
      <w:pPr>
        <w:ind w:left="42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BBCF5"/>
    <w:multiLevelType w:val="singleLevel"/>
    <w:tmpl w:val="471BBCF5"/>
    <w:lvl w:ilvl="0" w:tentative="0">
      <w:start w:val="1"/>
      <w:numFmt w:val="decimal"/>
      <w:suff w:val="space"/>
      <w:lvlText w:val="[%1]"/>
      <w:lvlJc w:val="left"/>
    </w:lvl>
  </w:abstractNum>
  <w:abstractNum w:abstractNumId="3">
    <w:nsid w:val="47A41821"/>
    <w:multiLevelType w:val="multilevel"/>
    <w:tmpl w:val="47A41821"/>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CDA2FB2"/>
    <w:multiLevelType w:val="multilevel"/>
    <w:tmpl w:val="6CDA2FB2"/>
    <w:lvl w:ilvl="0" w:tentative="0">
      <w:start w:val="1"/>
      <w:numFmt w:val="decimal"/>
      <w:pStyle w:val="53"/>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5"/>
  </w:num>
  <w:num w:numId="3">
    <w:abstractNumId w:val="1"/>
  </w:num>
  <w:num w:numId="4">
    <w:abstractNumId w:val="3"/>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BAB"/>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276"/>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424C"/>
    <w:rsid w:val="00024306"/>
    <w:rsid w:val="000243F4"/>
    <w:rsid w:val="00024787"/>
    <w:rsid w:val="00024D97"/>
    <w:rsid w:val="00024F7A"/>
    <w:rsid w:val="00025909"/>
    <w:rsid w:val="00025EF6"/>
    <w:rsid w:val="0002608D"/>
    <w:rsid w:val="0002646D"/>
    <w:rsid w:val="0002649D"/>
    <w:rsid w:val="000267E9"/>
    <w:rsid w:val="00026845"/>
    <w:rsid w:val="00026B95"/>
    <w:rsid w:val="000272EA"/>
    <w:rsid w:val="0002730A"/>
    <w:rsid w:val="00030084"/>
    <w:rsid w:val="00030C32"/>
    <w:rsid w:val="00030EF0"/>
    <w:rsid w:val="00031292"/>
    <w:rsid w:val="000313A6"/>
    <w:rsid w:val="00031994"/>
    <w:rsid w:val="00031A05"/>
    <w:rsid w:val="00031FD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744"/>
    <w:rsid w:val="000618D3"/>
    <w:rsid w:val="000622C6"/>
    <w:rsid w:val="00062D76"/>
    <w:rsid w:val="00062DFE"/>
    <w:rsid w:val="00062F14"/>
    <w:rsid w:val="000631DB"/>
    <w:rsid w:val="00063204"/>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4D"/>
    <w:rsid w:val="00086392"/>
    <w:rsid w:val="00086643"/>
    <w:rsid w:val="00086AB0"/>
    <w:rsid w:val="00087358"/>
    <w:rsid w:val="00087412"/>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0AB"/>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6082"/>
    <w:rsid w:val="000C741A"/>
    <w:rsid w:val="000C7A61"/>
    <w:rsid w:val="000C7CF8"/>
    <w:rsid w:val="000C7E6C"/>
    <w:rsid w:val="000D021C"/>
    <w:rsid w:val="000D0340"/>
    <w:rsid w:val="000D07E8"/>
    <w:rsid w:val="000D0A26"/>
    <w:rsid w:val="000D0D89"/>
    <w:rsid w:val="000D13B6"/>
    <w:rsid w:val="000D2178"/>
    <w:rsid w:val="000D23E3"/>
    <w:rsid w:val="000D2430"/>
    <w:rsid w:val="000D2A16"/>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5E4E"/>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55C"/>
    <w:rsid w:val="0010398C"/>
    <w:rsid w:val="00103DD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27E"/>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9CC"/>
    <w:rsid w:val="00117B58"/>
    <w:rsid w:val="001209D0"/>
    <w:rsid w:val="00120A7C"/>
    <w:rsid w:val="00120BBC"/>
    <w:rsid w:val="00120BBF"/>
    <w:rsid w:val="00120FE4"/>
    <w:rsid w:val="0012143C"/>
    <w:rsid w:val="00121637"/>
    <w:rsid w:val="001217EB"/>
    <w:rsid w:val="00121EC3"/>
    <w:rsid w:val="0012204C"/>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6F68"/>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BAF"/>
    <w:rsid w:val="00146CF0"/>
    <w:rsid w:val="00147024"/>
    <w:rsid w:val="00147722"/>
    <w:rsid w:val="001503FD"/>
    <w:rsid w:val="00150A5C"/>
    <w:rsid w:val="00150B92"/>
    <w:rsid w:val="00150D89"/>
    <w:rsid w:val="00152691"/>
    <w:rsid w:val="00152F28"/>
    <w:rsid w:val="001537AC"/>
    <w:rsid w:val="001538FF"/>
    <w:rsid w:val="001540A5"/>
    <w:rsid w:val="00154999"/>
    <w:rsid w:val="00154BD3"/>
    <w:rsid w:val="00154C8D"/>
    <w:rsid w:val="00154F4C"/>
    <w:rsid w:val="00155A79"/>
    <w:rsid w:val="00155F45"/>
    <w:rsid w:val="0015670D"/>
    <w:rsid w:val="001568A6"/>
    <w:rsid w:val="00156F80"/>
    <w:rsid w:val="00157515"/>
    <w:rsid w:val="001576E8"/>
    <w:rsid w:val="00157B4B"/>
    <w:rsid w:val="001602CC"/>
    <w:rsid w:val="00160BDE"/>
    <w:rsid w:val="001617A5"/>
    <w:rsid w:val="0016182B"/>
    <w:rsid w:val="00161846"/>
    <w:rsid w:val="0016218D"/>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DA2"/>
    <w:rsid w:val="00176EC3"/>
    <w:rsid w:val="001778D2"/>
    <w:rsid w:val="001802DD"/>
    <w:rsid w:val="00180907"/>
    <w:rsid w:val="00180AD6"/>
    <w:rsid w:val="00180CEB"/>
    <w:rsid w:val="00181321"/>
    <w:rsid w:val="001818D4"/>
    <w:rsid w:val="001819BA"/>
    <w:rsid w:val="00181A3F"/>
    <w:rsid w:val="00181E4E"/>
    <w:rsid w:val="00181F3F"/>
    <w:rsid w:val="001825C3"/>
    <w:rsid w:val="00182914"/>
    <w:rsid w:val="00182AA8"/>
    <w:rsid w:val="00182DE3"/>
    <w:rsid w:val="00183308"/>
    <w:rsid w:val="00183698"/>
    <w:rsid w:val="00183B31"/>
    <w:rsid w:val="001845D5"/>
    <w:rsid w:val="00184ECA"/>
    <w:rsid w:val="00185304"/>
    <w:rsid w:val="001853E7"/>
    <w:rsid w:val="00185BF8"/>
    <w:rsid w:val="00186291"/>
    <w:rsid w:val="001863C2"/>
    <w:rsid w:val="001866F3"/>
    <w:rsid w:val="00186A30"/>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0D26"/>
    <w:rsid w:val="001A1062"/>
    <w:rsid w:val="001A12DB"/>
    <w:rsid w:val="001A195A"/>
    <w:rsid w:val="001A2412"/>
    <w:rsid w:val="001A29CE"/>
    <w:rsid w:val="001A335E"/>
    <w:rsid w:val="001A3566"/>
    <w:rsid w:val="001A3D1F"/>
    <w:rsid w:val="001A3E2F"/>
    <w:rsid w:val="001A3EF5"/>
    <w:rsid w:val="001A4636"/>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3BC1"/>
    <w:rsid w:val="001B43C4"/>
    <w:rsid w:val="001B4501"/>
    <w:rsid w:val="001B5AEC"/>
    <w:rsid w:val="001B5B34"/>
    <w:rsid w:val="001B61DE"/>
    <w:rsid w:val="001B644F"/>
    <w:rsid w:val="001B65FB"/>
    <w:rsid w:val="001B6BE1"/>
    <w:rsid w:val="001B7404"/>
    <w:rsid w:val="001C0312"/>
    <w:rsid w:val="001C03A3"/>
    <w:rsid w:val="001C09C8"/>
    <w:rsid w:val="001C0AFD"/>
    <w:rsid w:val="001C0C36"/>
    <w:rsid w:val="001C0CE3"/>
    <w:rsid w:val="001C1067"/>
    <w:rsid w:val="001C11B8"/>
    <w:rsid w:val="001C1962"/>
    <w:rsid w:val="001C1B05"/>
    <w:rsid w:val="001C1C19"/>
    <w:rsid w:val="001C1D78"/>
    <w:rsid w:val="001C209C"/>
    <w:rsid w:val="001C22DE"/>
    <w:rsid w:val="001C3C31"/>
    <w:rsid w:val="001C446E"/>
    <w:rsid w:val="001C459D"/>
    <w:rsid w:val="001C4CE9"/>
    <w:rsid w:val="001C4D64"/>
    <w:rsid w:val="001C5C89"/>
    <w:rsid w:val="001C5EEC"/>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2A"/>
    <w:rsid w:val="001E1893"/>
    <w:rsid w:val="001E1A49"/>
    <w:rsid w:val="001E1C68"/>
    <w:rsid w:val="001E1DE4"/>
    <w:rsid w:val="001E27B6"/>
    <w:rsid w:val="001E2F68"/>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0FDB"/>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755"/>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5D17"/>
    <w:rsid w:val="002260D8"/>
    <w:rsid w:val="0022630F"/>
    <w:rsid w:val="00226E51"/>
    <w:rsid w:val="00227810"/>
    <w:rsid w:val="00230026"/>
    <w:rsid w:val="00230374"/>
    <w:rsid w:val="00230A16"/>
    <w:rsid w:val="00231160"/>
    <w:rsid w:val="00231318"/>
    <w:rsid w:val="0023136F"/>
    <w:rsid w:val="00231969"/>
    <w:rsid w:val="00231F63"/>
    <w:rsid w:val="002324BF"/>
    <w:rsid w:val="002326EF"/>
    <w:rsid w:val="00232B0E"/>
    <w:rsid w:val="00232C8C"/>
    <w:rsid w:val="00232D59"/>
    <w:rsid w:val="00233096"/>
    <w:rsid w:val="0023321A"/>
    <w:rsid w:val="00233862"/>
    <w:rsid w:val="00233E05"/>
    <w:rsid w:val="00233F6C"/>
    <w:rsid w:val="00234DDC"/>
    <w:rsid w:val="00234F0C"/>
    <w:rsid w:val="0023505A"/>
    <w:rsid w:val="002354BA"/>
    <w:rsid w:val="002355AD"/>
    <w:rsid w:val="00235720"/>
    <w:rsid w:val="0023577A"/>
    <w:rsid w:val="00235A49"/>
    <w:rsid w:val="00235F1D"/>
    <w:rsid w:val="00236987"/>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110"/>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300"/>
    <w:rsid w:val="002765E7"/>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0F6D"/>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5D4E"/>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5FC"/>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434"/>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1EA"/>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B2A"/>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1757E"/>
    <w:rsid w:val="003205BC"/>
    <w:rsid w:val="003206DA"/>
    <w:rsid w:val="003209B1"/>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06A"/>
    <w:rsid w:val="00334151"/>
    <w:rsid w:val="003342BF"/>
    <w:rsid w:val="00334DF5"/>
    <w:rsid w:val="0033560E"/>
    <w:rsid w:val="00336AF9"/>
    <w:rsid w:val="0033776F"/>
    <w:rsid w:val="0033783F"/>
    <w:rsid w:val="00340EF0"/>
    <w:rsid w:val="00341416"/>
    <w:rsid w:val="00341493"/>
    <w:rsid w:val="00341EB1"/>
    <w:rsid w:val="0034213F"/>
    <w:rsid w:val="00342F2D"/>
    <w:rsid w:val="0034311C"/>
    <w:rsid w:val="0034364B"/>
    <w:rsid w:val="0034373B"/>
    <w:rsid w:val="00343CC0"/>
    <w:rsid w:val="00344118"/>
    <w:rsid w:val="0034465E"/>
    <w:rsid w:val="00344DF1"/>
    <w:rsid w:val="0034548A"/>
    <w:rsid w:val="00345577"/>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6E"/>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C42"/>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C09"/>
    <w:rsid w:val="003812BB"/>
    <w:rsid w:val="0038139E"/>
    <w:rsid w:val="0038177C"/>
    <w:rsid w:val="00381BC7"/>
    <w:rsid w:val="00382603"/>
    <w:rsid w:val="00382754"/>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641"/>
    <w:rsid w:val="00392A9E"/>
    <w:rsid w:val="00392C12"/>
    <w:rsid w:val="00392CB8"/>
    <w:rsid w:val="00393353"/>
    <w:rsid w:val="00393802"/>
    <w:rsid w:val="00393AC6"/>
    <w:rsid w:val="00393B6F"/>
    <w:rsid w:val="003942A6"/>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65"/>
    <w:rsid w:val="003B2173"/>
    <w:rsid w:val="003B2C68"/>
    <w:rsid w:val="003B2F04"/>
    <w:rsid w:val="003B3187"/>
    <w:rsid w:val="003B321C"/>
    <w:rsid w:val="003B3286"/>
    <w:rsid w:val="003B3407"/>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299"/>
    <w:rsid w:val="003C55C2"/>
    <w:rsid w:val="003C5A61"/>
    <w:rsid w:val="003C5EB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9B5"/>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60E"/>
    <w:rsid w:val="003F287F"/>
    <w:rsid w:val="003F291B"/>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35"/>
    <w:rsid w:val="0040077F"/>
    <w:rsid w:val="004011DE"/>
    <w:rsid w:val="0040177A"/>
    <w:rsid w:val="00401D64"/>
    <w:rsid w:val="00401EFA"/>
    <w:rsid w:val="00402135"/>
    <w:rsid w:val="00402210"/>
    <w:rsid w:val="0040245E"/>
    <w:rsid w:val="004025C1"/>
    <w:rsid w:val="004026C7"/>
    <w:rsid w:val="0040287B"/>
    <w:rsid w:val="004028E6"/>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07B9F"/>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183"/>
    <w:rsid w:val="0043080B"/>
    <w:rsid w:val="00430B4A"/>
    <w:rsid w:val="00431B77"/>
    <w:rsid w:val="00431BAD"/>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BA7"/>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111"/>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5AA"/>
    <w:rsid w:val="00481686"/>
    <w:rsid w:val="0048179A"/>
    <w:rsid w:val="00481853"/>
    <w:rsid w:val="00481CD9"/>
    <w:rsid w:val="00482BD4"/>
    <w:rsid w:val="00483BAD"/>
    <w:rsid w:val="00483C05"/>
    <w:rsid w:val="004841BF"/>
    <w:rsid w:val="004842FE"/>
    <w:rsid w:val="0048452B"/>
    <w:rsid w:val="00484581"/>
    <w:rsid w:val="004845E8"/>
    <w:rsid w:val="0048461E"/>
    <w:rsid w:val="0048463F"/>
    <w:rsid w:val="00484F60"/>
    <w:rsid w:val="00484FD0"/>
    <w:rsid w:val="004850F4"/>
    <w:rsid w:val="00485BAB"/>
    <w:rsid w:val="004861A9"/>
    <w:rsid w:val="00486D2C"/>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1E86"/>
    <w:rsid w:val="004B2869"/>
    <w:rsid w:val="004B32B4"/>
    <w:rsid w:val="004B3BD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81"/>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5CFE"/>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44F"/>
    <w:rsid w:val="004E153F"/>
    <w:rsid w:val="004E1FFE"/>
    <w:rsid w:val="004E2337"/>
    <w:rsid w:val="004E2B2E"/>
    <w:rsid w:val="004E2B9C"/>
    <w:rsid w:val="004E31D6"/>
    <w:rsid w:val="004E33C6"/>
    <w:rsid w:val="004E3B39"/>
    <w:rsid w:val="004E44A6"/>
    <w:rsid w:val="004E4700"/>
    <w:rsid w:val="004E48E9"/>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2F33"/>
    <w:rsid w:val="004F30F5"/>
    <w:rsid w:val="004F36AD"/>
    <w:rsid w:val="004F3C21"/>
    <w:rsid w:val="004F3FF0"/>
    <w:rsid w:val="004F453D"/>
    <w:rsid w:val="004F46ED"/>
    <w:rsid w:val="004F4A2D"/>
    <w:rsid w:val="004F4D00"/>
    <w:rsid w:val="004F4E8A"/>
    <w:rsid w:val="004F50AA"/>
    <w:rsid w:val="004F51A2"/>
    <w:rsid w:val="004F523D"/>
    <w:rsid w:val="004F6F4E"/>
    <w:rsid w:val="004F6F60"/>
    <w:rsid w:val="004F737B"/>
    <w:rsid w:val="004F7ADC"/>
    <w:rsid w:val="004F7C2F"/>
    <w:rsid w:val="004F7E22"/>
    <w:rsid w:val="00500078"/>
    <w:rsid w:val="005000B5"/>
    <w:rsid w:val="005004A0"/>
    <w:rsid w:val="005006BD"/>
    <w:rsid w:val="00501433"/>
    <w:rsid w:val="005015F2"/>
    <w:rsid w:val="005019CF"/>
    <w:rsid w:val="005026A8"/>
    <w:rsid w:val="0050284D"/>
    <w:rsid w:val="00502914"/>
    <w:rsid w:val="005035E9"/>
    <w:rsid w:val="00504398"/>
    <w:rsid w:val="0050446A"/>
    <w:rsid w:val="00504522"/>
    <w:rsid w:val="0050469C"/>
    <w:rsid w:val="005047A0"/>
    <w:rsid w:val="005047FF"/>
    <w:rsid w:val="00504EC1"/>
    <w:rsid w:val="00504FA0"/>
    <w:rsid w:val="005059A8"/>
    <w:rsid w:val="00505E3A"/>
    <w:rsid w:val="00506897"/>
    <w:rsid w:val="00507581"/>
    <w:rsid w:val="00507ABC"/>
    <w:rsid w:val="00507D68"/>
    <w:rsid w:val="0051006B"/>
    <w:rsid w:val="00510078"/>
    <w:rsid w:val="005104CC"/>
    <w:rsid w:val="0051071A"/>
    <w:rsid w:val="00510A01"/>
    <w:rsid w:val="00510D0D"/>
    <w:rsid w:val="00510DDC"/>
    <w:rsid w:val="00511725"/>
    <w:rsid w:val="00511787"/>
    <w:rsid w:val="005117E0"/>
    <w:rsid w:val="00511C94"/>
    <w:rsid w:val="00512008"/>
    <w:rsid w:val="00512AE5"/>
    <w:rsid w:val="005133BB"/>
    <w:rsid w:val="00513B46"/>
    <w:rsid w:val="005141F4"/>
    <w:rsid w:val="005142E9"/>
    <w:rsid w:val="005144AE"/>
    <w:rsid w:val="00515861"/>
    <w:rsid w:val="005158BA"/>
    <w:rsid w:val="00515D58"/>
    <w:rsid w:val="005167D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443"/>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FF3"/>
    <w:rsid w:val="005510C8"/>
    <w:rsid w:val="0055122D"/>
    <w:rsid w:val="00551728"/>
    <w:rsid w:val="005521E3"/>
    <w:rsid w:val="00552692"/>
    <w:rsid w:val="00552BE4"/>
    <w:rsid w:val="00552C50"/>
    <w:rsid w:val="00552EE8"/>
    <w:rsid w:val="00552F90"/>
    <w:rsid w:val="00553635"/>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2BA8"/>
    <w:rsid w:val="0057306B"/>
    <w:rsid w:val="005730A1"/>
    <w:rsid w:val="0057499D"/>
    <w:rsid w:val="00574C95"/>
    <w:rsid w:val="00574CC0"/>
    <w:rsid w:val="005752AA"/>
    <w:rsid w:val="005758AA"/>
    <w:rsid w:val="005758CF"/>
    <w:rsid w:val="0057639B"/>
    <w:rsid w:val="0057670C"/>
    <w:rsid w:val="00576963"/>
    <w:rsid w:val="00577968"/>
    <w:rsid w:val="005800AB"/>
    <w:rsid w:val="0058068A"/>
    <w:rsid w:val="005807DE"/>
    <w:rsid w:val="005809E4"/>
    <w:rsid w:val="00580C19"/>
    <w:rsid w:val="00581367"/>
    <w:rsid w:val="0058136B"/>
    <w:rsid w:val="005818A8"/>
    <w:rsid w:val="0058273F"/>
    <w:rsid w:val="005829ED"/>
    <w:rsid w:val="00582C88"/>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3CC8"/>
    <w:rsid w:val="00594241"/>
    <w:rsid w:val="005942C3"/>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5F05"/>
    <w:rsid w:val="005B625C"/>
    <w:rsid w:val="005B64CD"/>
    <w:rsid w:val="005B6977"/>
    <w:rsid w:val="005B6EF2"/>
    <w:rsid w:val="005B7275"/>
    <w:rsid w:val="005B72FF"/>
    <w:rsid w:val="005B7391"/>
    <w:rsid w:val="005B7846"/>
    <w:rsid w:val="005B791A"/>
    <w:rsid w:val="005B79DD"/>
    <w:rsid w:val="005C0859"/>
    <w:rsid w:val="005C0F66"/>
    <w:rsid w:val="005C0FDA"/>
    <w:rsid w:val="005C1ED6"/>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6E6A"/>
    <w:rsid w:val="005D7250"/>
    <w:rsid w:val="005D7B02"/>
    <w:rsid w:val="005D7C2E"/>
    <w:rsid w:val="005D7CFC"/>
    <w:rsid w:val="005D7DAB"/>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6C88"/>
    <w:rsid w:val="005E762A"/>
    <w:rsid w:val="005E7692"/>
    <w:rsid w:val="005E7837"/>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AF4"/>
    <w:rsid w:val="00603DA4"/>
    <w:rsid w:val="00603DD7"/>
    <w:rsid w:val="00603FCA"/>
    <w:rsid w:val="006045DE"/>
    <w:rsid w:val="00604A8C"/>
    <w:rsid w:val="00604F42"/>
    <w:rsid w:val="0060511F"/>
    <w:rsid w:val="00605537"/>
    <w:rsid w:val="00606004"/>
    <w:rsid w:val="0060618C"/>
    <w:rsid w:val="00606201"/>
    <w:rsid w:val="00606399"/>
    <w:rsid w:val="006069F2"/>
    <w:rsid w:val="00606C75"/>
    <w:rsid w:val="00606FC0"/>
    <w:rsid w:val="006078A3"/>
    <w:rsid w:val="0061008A"/>
    <w:rsid w:val="006102AB"/>
    <w:rsid w:val="006104D4"/>
    <w:rsid w:val="00610936"/>
    <w:rsid w:val="0061140B"/>
    <w:rsid w:val="00611657"/>
    <w:rsid w:val="006117C0"/>
    <w:rsid w:val="0061181D"/>
    <w:rsid w:val="0061192E"/>
    <w:rsid w:val="006125AC"/>
    <w:rsid w:val="0061277E"/>
    <w:rsid w:val="00612BCB"/>
    <w:rsid w:val="00612D15"/>
    <w:rsid w:val="00612E55"/>
    <w:rsid w:val="006135AB"/>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9F4"/>
    <w:rsid w:val="00621AF3"/>
    <w:rsid w:val="00621BC8"/>
    <w:rsid w:val="006227DD"/>
    <w:rsid w:val="00622EE2"/>
    <w:rsid w:val="00622F5F"/>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4BDA"/>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007"/>
    <w:rsid w:val="00641109"/>
    <w:rsid w:val="00641185"/>
    <w:rsid w:val="0064171F"/>
    <w:rsid w:val="00641B36"/>
    <w:rsid w:val="00641B7C"/>
    <w:rsid w:val="00641B8F"/>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0FC"/>
    <w:rsid w:val="006566A5"/>
    <w:rsid w:val="00656863"/>
    <w:rsid w:val="00657AA1"/>
    <w:rsid w:val="00660A0E"/>
    <w:rsid w:val="00660E07"/>
    <w:rsid w:val="00661115"/>
    <w:rsid w:val="00661882"/>
    <w:rsid w:val="00661A32"/>
    <w:rsid w:val="006623BD"/>
    <w:rsid w:val="006629C1"/>
    <w:rsid w:val="00662BAD"/>
    <w:rsid w:val="006634CE"/>
    <w:rsid w:val="0066372A"/>
    <w:rsid w:val="0066386C"/>
    <w:rsid w:val="006639DF"/>
    <w:rsid w:val="0066404D"/>
    <w:rsid w:val="006646C4"/>
    <w:rsid w:val="00664801"/>
    <w:rsid w:val="00664A86"/>
    <w:rsid w:val="00664D59"/>
    <w:rsid w:val="00665426"/>
    <w:rsid w:val="00665657"/>
    <w:rsid w:val="006661C0"/>
    <w:rsid w:val="006666E0"/>
    <w:rsid w:val="00666D49"/>
    <w:rsid w:val="00666EE9"/>
    <w:rsid w:val="00667C1A"/>
    <w:rsid w:val="00670445"/>
    <w:rsid w:val="006704EB"/>
    <w:rsid w:val="00670515"/>
    <w:rsid w:val="00670535"/>
    <w:rsid w:val="0067109D"/>
    <w:rsid w:val="006714A3"/>
    <w:rsid w:val="00671811"/>
    <w:rsid w:val="00671A72"/>
    <w:rsid w:val="0067224A"/>
    <w:rsid w:val="006726A6"/>
    <w:rsid w:val="00672A23"/>
    <w:rsid w:val="00672A97"/>
    <w:rsid w:val="00673024"/>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1C37"/>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BAC"/>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15F"/>
    <w:rsid w:val="006B67F6"/>
    <w:rsid w:val="006B690A"/>
    <w:rsid w:val="006B6E38"/>
    <w:rsid w:val="006B775A"/>
    <w:rsid w:val="006B7AB8"/>
    <w:rsid w:val="006C0252"/>
    <w:rsid w:val="006C0671"/>
    <w:rsid w:val="006C165A"/>
    <w:rsid w:val="006C18BA"/>
    <w:rsid w:val="006C19B2"/>
    <w:rsid w:val="006C1B50"/>
    <w:rsid w:val="006C257E"/>
    <w:rsid w:val="006C305B"/>
    <w:rsid w:val="006C31F4"/>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1F03"/>
    <w:rsid w:val="006D1FBD"/>
    <w:rsid w:val="006D20AA"/>
    <w:rsid w:val="006D20DE"/>
    <w:rsid w:val="006D21AF"/>
    <w:rsid w:val="006D233D"/>
    <w:rsid w:val="006D290E"/>
    <w:rsid w:val="006D2A35"/>
    <w:rsid w:val="006D3077"/>
    <w:rsid w:val="006D3CD5"/>
    <w:rsid w:val="006D3F69"/>
    <w:rsid w:val="006D4283"/>
    <w:rsid w:val="006D443C"/>
    <w:rsid w:val="006D4648"/>
    <w:rsid w:val="006D476D"/>
    <w:rsid w:val="006D481E"/>
    <w:rsid w:val="006D493C"/>
    <w:rsid w:val="006D508C"/>
    <w:rsid w:val="006D5E12"/>
    <w:rsid w:val="006D6083"/>
    <w:rsid w:val="006D6856"/>
    <w:rsid w:val="006D78D5"/>
    <w:rsid w:val="006E0CF4"/>
    <w:rsid w:val="006E1345"/>
    <w:rsid w:val="006E1D00"/>
    <w:rsid w:val="006E24FA"/>
    <w:rsid w:val="006E2F0A"/>
    <w:rsid w:val="006E3A28"/>
    <w:rsid w:val="006E4203"/>
    <w:rsid w:val="006E4305"/>
    <w:rsid w:val="006E4343"/>
    <w:rsid w:val="006E4614"/>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4A9"/>
    <w:rsid w:val="0070392B"/>
    <w:rsid w:val="00703A75"/>
    <w:rsid w:val="007045EC"/>
    <w:rsid w:val="00704A22"/>
    <w:rsid w:val="00704DDF"/>
    <w:rsid w:val="0070533B"/>
    <w:rsid w:val="00705823"/>
    <w:rsid w:val="0070683E"/>
    <w:rsid w:val="0070696F"/>
    <w:rsid w:val="007069CA"/>
    <w:rsid w:val="00707475"/>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1DCD"/>
    <w:rsid w:val="00722C59"/>
    <w:rsid w:val="00722D78"/>
    <w:rsid w:val="00723052"/>
    <w:rsid w:val="00723598"/>
    <w:rsid w:val="00723A4F"/>
    <w:rsid w:val="00723C26"/>
    <w:rsid w:val="00723F6D"/>
    <w:rsid w:val="0072417E"/>
    <w:rsid w:val="0072468C"/>
    <w:rsid w:val="00724712"/>
    <w:rsid w:val="007254DD"/>
    <w:rsid w:val="00726826"/>
    <w:rsid w:val="00726ED8"/>
    <w:rsid w:val="00726FBD"/>
    <w:rsid w:val="00727246"/>
    <w:rsid w:val="0073057B"/>
    <w:rsid w:val="00730756"/>
    <w:rsid w:val="00730AAD"/>
    <w:rsid w:val="007313BE"/>
    <w:rsid w:val="0073173F"/>
    <w:rsid w:val="00731828"/>
    <w:rsid w:val="00731B36"/>
    <w:rsid w:val="00731DD9"/>
    <w:rsid w:val="0073265C"/>
    <w:rsid w:val="00732835"/>
    <w:rsid w:val="00732B8B"/>
    <w:rsid w:val="00733496"/>
    <w:rsid w:val="007337AF"/>
    <w:rsid w:val="007338FC"/>
    <w:rsid w:val="00733AE5"/>
    <w:rsid w:val="00733DB7"/>
    <w:rsid w:val="00734F4A"/>
    <w:rsid w:val="007350B7"/>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1E"/>
    <w:rsid w:val="00761A87"/>
    <w:rsid w:val="00761AF5"/>
    <w:rsid w:val="00762C33"/>
    <w:rsid w:val="00762C70"/>
    <w:rsid w:val="00762EDE"/>
    <w:rsid w:val="00762F75"/>
    <w:rsid w:val="00763220"/>
    <w:rsid w:val="0076348C"/>
    <w:rsid w:val="00763742"/>
    <w:rsid w:val="00763B60"/>
    <w:rsid w:val="00763F3D"/>
    <w:rsid w:val="007640C0"/>
    <w:rsid w:val="007645E8"/>
    <w:rsid w:val="007646BE"/>
    <w:rsid w:val="00764BFB"/>
    <w:rsid w:val="00765157"/>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45"/>
    <w:rsid w:val="007742B3"/>
    <w:rsid w:val="00774A84"/>
    <w:rsid w:val="00774DB8"/>
    <w:rsid w:val="00774E61"/>
    <w:rsid w:val="00775005"/>
    <w:rsid w:val="00775308"/>
    <w:rsid w:val="007753F7"/>
    <w:rsid w:val="00775452"/>
    <w:rsid w:val="007761FD"/>
    <w:rsid w:val="007762AC"/>
    <w:rsid w:val="00776422"/>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0EB"/>
    <w:rsid w:val="007953DF"/>
    <w:rsid w:val="007953EA"/>
    <w:rsid w:val="007956F4"/>
    <w:rsid w:val="007959BC"/>
    <w:rsid w:val="00795B09"/>
    <w:rsid w:val="00795DCD"/>
    <w:rsid w:val="00796107"/>
    <w:rsid w:val="0079613D"/>
    <w:rsid w:val="007963C4"/>
    <w:rsid w:val="007966C8"/>
    <w:rsid w:val="00796E61"/>
    <w:rsid w:val="007972D2"/>
    <w:rsid w:val="0079772F"/>
    <w:rsid w:val="007A011D"/>
    <w:rsid w:val="007A01DF"/>
    <w:rsid w:val="007A026C"/>
    <w:rsid w:val="007A0731"/>
    <w:rsid w:val="007A17E0"/>
    <w:rsid w:val="007A18A6"/>
    <w:rsid w:val="007A27CB"/>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9B4"/>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6599"/>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675C"/>
    <w:rsid w:val="007C7029"/>
    <w:rsid w:val="007C76B3"/>
    <w:rsid w:val="007C787C"/>
    <w:rsid w:val="007D034D"/>
    <w:rsid w:val="007D0747"/>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327"/>
    <w:rsid w:val="007D5CD6"/>
    <w:rsid w:val="007D61E8"/>
    <w:rsid w:val="007D6269"/>
    <w:rsid w:val="007D6399"/>
    <w:rsid w:val="007D688D"/>
    <w:rsid w:val="007D6D6D"/>
    <w:rsid w:val="007D74F3"/>
    <w:rsid w:val="007D76CB"/>
    <w:rsid w:val="007D7918"/>
    <w:rsid w:val="007D7AE9"/>
    <w:rsid w:val="007D7CC5"/>
    <w:rsid w:val="007E0080"/>
    <w:rsid w:val="007E0362"/>
    <w:rsid w:val="007E09CA"/>
    <w:rsid w:val="007E09F2"/>
    <w:rsid w:val="007E0BC7"/>
    <w:rsid w:val="007E0D61"/>
    <w:rsid w:val="007E1090"/>
    <w:rsid w:val="007E1471"/>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E7755"/>
    <w:rsid w:val="007E78A3"/>
    <w:rsid w:val="007F06C6"/>
    <w:rsid w:val="007F0978"/>
    <w:rsid w:val="007F0CD8"/>
    <w:rsid w:val="007F1863"/>
    <w:rsid w:val="007F1F61"/>
    <w:rsid w:val="007F2102"/>
    <w:rsid w:val="007F312C"/>
    <w:rsid w:val="007F33A6"/>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251"/>
    <w:rsid w:val="00843E31"/>
    <w:rsid w:val="008444C6"/>
    <w:rsid w:val="008447A4"/>
    <w:rsid w:val="0084482D"/>
    <w:rsid w:val="00844908"/>
    <w:rsid w:val="00844ECC"/>
    <w:rsid w:val="00845010"/>
    <w:rsid w:val="00845082"/>
    <w:rsid w:val="00845AB1"/>
    <w:rsid w:val="00846634"/>
    <w:rsid w:val="008471E0"/>
    <w:rsid w:val="00847276"/>
    <w:rsid w:val="008479D4"/>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1E"/>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4550"/>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30"/>
    <w:rsid w:val="0088195F"/>
    <w:rsid w:val="008821A1"/>
    <w:rsid w:val="00882307"/>
    <w:rsid w:val="008832FA"/>
    <w:rsid w:val="00883D9D"/>
    <w:rsid w:val="0088421D"/>
    <w:rsid w:val="008844DF"/>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BE4"/>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2FD"/>
    <w:rsid w:val="008D3516"/>
    <w:rsid w:val="008D3ABC"/>
    <w:rsid w:val="008D3C1D"/>
    <w:rsid w:val="008D3C3F"/>
    <w:rsid w:val="008D3DBE"/>
    <w:rsid w:val="008D3E6E"/>
    <w:rsid w:val="008D3F47"/>
    <w:rsid w:val="008D478B"/>
    <w:rsid w:val="008D49B4"/>
    <w:rsid w:val="008D4BDC"/>
    <w:rsid w:val="008D575C"/>
    <w:rsid w:val="008D5BFE"/>
    <w:rsid w:val="008D6132"/>
    <w:rsid w:val="008D671A"/>
    <w:rsid w:val="008D72D9"/>
    <w:rsid w:val="008D7407"/>
    <w:rsid w:val="008D7658"/>
    <w:rsid w:val="008E04F4"/>
    <w:rsid w:val="008E0B9D"/>
    <w:rsid w:val="008E1343"/>
    <w:rsid w:val="008E160F"/>
    <w:rsid w:val="008E1795"/>
    <w:rsid w:val="008E2159"/>
    <w:rsid w:val="008E2242"/>
    <w:rsid w:val="008E22BA"/>
    <w:rsid w:val="008E295A"/>
    <w:rsid w:val="008E2CCA"/>
    <w:rsid w:val="008E2D68"/>
    <w:rsid w:val="008E2FD8"/>
    <w:rsid w:val="008E3291"/>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1A30"/>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20F"/>
    <w:rsid w:val="00903BCD"/>
    <w:rsid w:val="00904A36"/>
    <w:rsid w:val="00904EB5"/>
    <w:rsid w:val="00905144"/>
    <w:rsid w:val="00905412"/>
    <w:rsid w:val="009058EA"/>
    <w:rsid w:val="00905EF9"/>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36"/>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6F8"/>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30E"/>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0B7E"/>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0AA"/>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107"/>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2D7"/>
    <w:rsid w:val="00992EF7"/>
    <w:rsid w:val="009937D9"/>
    <w:rsid w:val="00993992"/>
    <w:rsid w:val="00993B90"/>
    <w:rsid w:val="00993BD2"/>
    <w:rsid w:val="00993E5F"/>
    <w:rsid w:val="009948C9"/>
    <w:rsid w:val="00994B63"/>
    <w:rsid w:val="009950F4"/>
    <w:rsid w:val="00995489"/>
    <w:rsid w:val="00995A33"/>
    <w:rsid w:val="00995B78"/>
    <w:rsid w:val="00996133"/>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AC7"/>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8A1"/>
    <w:rsid w:val="009B29A2"/>
    <w:rsid w:val="009B2AD4"/>
    <w:rsid w:val="009B37F9"/>
    <w:rsid w:val="009B3F2F"/>
    <w:rsid w:val="009B456D"/>
    <w:rsid w:val="009B4E75"/>
    <w:rsid w:val="009B5890"/>
    <w:rsid w:val="009B5C1B"/>
    <w:rsid w:val="009B64B3"/>
    <w:rsid w:val="009B726E"/>
    <w:rsid w:val="009B7358"/>
    <w:rsid w:val="009B74A4"/>
    <w:rsid w:val="009B76C8"/>
    <w:rsid w:val="009C00C1"/>
    <w:rsid w:val="009C05BC"/>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03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4CB5"/>
    <w:rsid w:val="009D5334"/>
    <w:rsid w:val="009D53B9"/>
    <w:rsid w:val="009D5A9E"/>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47E5"/>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EA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BFE"/>
    <w:rsid w:val="00A35D0A"/>
    <w:rsid w:val="00A35D5D"/>
    <w:rsid w:val="00A3669A"/>
    <w:rsid w:val="00A36708"/>
    <w:rsid w:val="00A4025F"/>
    <w:rsid w:val="00A40D5B"/>
    <w:rsid w:val="00A41188"/>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2326"/>
    <w:rsid w:val="00A5246D"/>
    <w:rsid w:val="00A527E0"/>
    <w:rsid w:val="00A529CA"/>
    <w:rsid w:val="00A52EAB"/>
    <w:rsid w:val="00A53296"/>
    <w:rsid w:val="00A533B8"/>
    <w:rsid w:val="00A53944"/>
    <w:rsid w:val="00A53BFB"/>
    <w:rsid w:val="00A53E5E"/>
    <w:rsid w:val="00A540F2"/>
    <w:rsid w:val="00A54873"/>
    <w:rsid w:val="00A549A8"/>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B42"/>
    <w:rsid w:val="00A62D38"/>
    <w:rsid w:val="00A634CA"/>
    <w:rsid w:val="00A639EC"/>
    <w:rsid w:val="00A63B71"/>
    <w:rsid w:val="00A63C0C"/>
    <w:rsid w:val="00A64BF9"/>
    <w:rsid w:val="00A64FC0"/>
    <w:rsid w:val="00A650FE"/>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ABD"/>
    <w:rsid w:val="00A83B80"/>
    <w:rsid w:val="00A83EA1"/>
    <w:rsid w:val="00A83EA8"/>
    <w:rsid w:val="00A84145"/>
    <w:rsid w:val="00A842BE"/>
    <w:rsid w:val="00A8439A"/>
    <w:rsid w:val="00A8439C"/>
    <w:rsid w:val="00A84B77"/>
    <w:rsid w:val="00A84E95"/>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3AE8"/>
    <w:rsid w:val="00A93BBA"/>
    <w:rsid w:val="00A93EE8"/>
    <w:rsid w:val="00A94691"/>
    <w:rsid w:val="00A94A31"/>
    <w:rsid w:val="00A94C9E"/>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88"/>
    <w:rsid w:val="00AB13CD"/>
    <w:rsid w:val="00AB2004"/>
    <w:rsid w:val="00AB20CC"/>
    <w:rsid w:val="00AB225E"/>
    <w:rsid w:val="00AB2B2F"/>
    <w:rsid w:val="00AB31B1"/>
    <w:rsid w:val="00AB342D"/>
    <w:rsid w:val="00AB3520"/>
    <w:rsid w:val="00AB3697"/>
    <w:rsid w:val="00AB444C"/>
    <w:rsid w:val="00AB49EF"/>
    <w:rsid w:val="00AB4A0B"/>
    <w:rsid w:val="00AB4A6E"/>
    <w:rsid w:val="00AB5624"/>
    <w:rsid w:val="00AB5742"/>
    <w:rsid w:val="00AB57B4"/>
    <w:rsid w:val="00AB5B23"/>
    <w:rsid w:val="00AB7369"/>
    <w:rsid w:val="00AB73AF"/>
    <w:rsid w:val="00AB7507"/>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D16"/>
    <w:rsid w:val="00AC6FAF"/>
    <w:rsid w:val="00AC7158"/>
    <w:rsid w:val="00AC724C"/>
    <w:rsid w:val="00AC72ED"/>
    <w:rsid w:val="00AC7F70"/>
    <w:rsid w:val="00AD0160"/>
    <w:rsid w:val="00AD0201"/>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26"/>
    <w:rsid w:val="00AE059C"/>
    <w:rsid w:val="00AE07D5"/>
    <w:rsid w:val="00AE0945"/>
    <w:rsid w:val="00AE0CDA"/>
    <w:rsid w:val="00AE1033"/>
    <w:rsid w:val="00AE10C5"/>
    <w:rsid w:val="00AE115B"/>
    <w:rsid w:val="00AE197C"/>
    <w:rsid w:val="00AE1B01"/>
    <w:rsid w:val="00AE2B80"/>
    <w:rsid w:val="00AE2E82"/>
    <w:rsid w:val="00AE33BC"/>
    <w:rsid w:val="00AE3592"/>
    <w:rsid w:val="00AE39D6"/>
    <w:rsid w:val="00AE3ACD"/>
    <w:rsid w:val="00AE3DC6"/>
    <w:rsid w:val="00AE3F34"/>
    <w:rsid w:val="00AE429B"/>
    <w:rsid w:val="00AE4E2B"/>
    <w:rsid w:val="00AE4FF4"/>
    <w:rsid w:val="00AE513A"/>
    <w:rsid w:val="00AE536D"/>
    <w:rsid w:val="00AE563C"/>
    <w:rsid w:val="00AE5898"/>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AF78A3"/>
    <w:rsid w:val="00B00470"/>
    <w:rsid w:val="00B005E0"/>
    <w:rsid w:val="00B0065C"/>
    <w:rsid w:val="00B007B8"/>
    <w:rsid w:val="00B00B22"/>
    <w:rsid w:val="00B00D50"/>
    <w:rsid w:val="00B00F78"/>
    <w:rsid w:val="00B01140"/>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08EF"/>
    <w:rsid w:val="00B21006"/>
    <w:rsid w:val="00B21100"/>
    <w:rsid w:val="00B21545"/>
    <w:rsid w:val="00B21A2E"/>
    <w:rsid w:val="00B21C76"/>
    <w:rsid w:val="00B21F16"/>
    <w:rsid w:val="00B2205B"/>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774"/>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064"/>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18D"/>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3EC"/>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5D"/>
    <w:rsid w:val="00BA3760"/>
    <w:rsid w:val="00BA3858"/>
    <w:rsid w:val="00BA38B2"/>
    <w:rsid w:val="00BA38FD"/>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41"/>
    <w:rsid w:val="00BB5FCF"/>
    <w:rsid w:val="00BB622A"/>
    <w:rsid w:val="00BB670B"/>
    <w:rsid w:val="00BB6A7E"/>
    <w:rsid w:val="00BC0612"/>
    <w:rsid w:val="00BC074C"/>
    <w:rsid w:val="00BC0B56"/>
    <w:rsid w:val="00BC19C7"/>
    <w:rsid w:val="00BC1CD3"/>
    <w:rsid w:val="00BC234F"/>
    <w:rsid w:val="00BC24A5"/>
    <w:rsid w:val="00BC2C33"/>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BC6"/>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06"/>
    <w:rsid w:val="00BE3D1A"/>
    <w:rsid w:val="00BE482A"/>
    <w:rsid w:val="00BE5038"/>
    <w:rsid w:val="00BE53A4"/>
    <w:rsid w:val="00BE5F26"/>
    <w:rsid w:val="00BE5F4F"/>
    <w:rsid w:val="00BE61F7"/>
    <w:rsid w:val="00BE65B8"/>
    <w:rsid w:val="00BE769F"/>
    <w:rsid w:val="00BE7A9C"/>
    <w:rsid w:val="00BE7E16"/>
    <w:rsid w:val="00BF03E8"/>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3ABF"/>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DD1"/>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AA6"/>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B1C"/>
    <w:rsid w:val="00C72CC9"/>
    <w:rsid w:val="00C731A2"/>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1B"/>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87D15"/>
    <w:rsid w:val="00C90167"/>
    <w:rsid w:val="00C90BBE"/>
    <w:rsid w:val="00C90C74"/>
    <w:rsid w:val="00C90FD7"/>
    <w:rsid w:val="00C9137B"/>
    <w:rsid w:val="00C91564"/>
    <w:rsid w:val="00C91D9C"/>
    <w:rsid w:val="00C91E30"/>
    <w:rsid w:val="00C9249E"/>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5A8"/>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1B9"/>
    <w:rsid w:val="00D0779E"/>
    <w:rsid w:val="00D07812"/>
    <w:rsid w:val="00D07983"/>
    <w:rsid w:val="00D07AF9"/>
    <w:rsid w:val="00D07D5F"/>
    <w:rsid w:val="00D1015C"/>
    <w:rsid w:val="00D10323"/>
    <w:rsid w:val="00D10EB5"/>
    <w:rsid w:val="00D10EFE"/>
    <w:rsid w:val="00D111FF"/>
    <w:rsid w:val="00D11748"/>
    <w:rsid w:val="00D12808"/>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29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47D9B"/>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4D2"/>
    <w:rsid w:val="00DB1B81"/>
    <w:rsid w:val="00DB2581"/>
    <w:rsid w:val="00DB3259"/>
    <w:rsid w:val="00DB32E6"/>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5A7"/>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5E1"/>
    <w:rsid w:val="00DD7BE5"/>
    <w:rsid w:val="00DE03DF"/>
    <w:rsid w:val="00DE06FB"/>
    <w:rsid w:val="00DE07D0"/>
    <w:rsid w:val="00DE0F64"/>
    <w:rsid w:val="00DE1018"/>
    <w:rsid w:val="00DE2304"/>
    <w:rsid w:val="00DE2B08"/>
    <w:rsid w:val="00DE33AC"/>
    <w:rsid w:val="00DE33F7"/>
    <w:rsid w:val="00DE4487"/>
    <w:rsid w:val="00DE4DAB"/>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08D"/>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27F46"/>
    <w:rsid w:val="00E31589"/>
    <w:rsid w:val="00E31743"/>
    <w:rsid w:val="00E31C76"/>
    <w:rsid w:val="00E31D0B"/>
    <w:rsid w:val="00E321B2"/>
    <w:rsid w:val="00E32951"/>
    <w:rsid w:val="00E330CC"/>
    <w:rsid w:val="00E33969"/>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11B"/>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5F4"/>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BD"/>
    <w:rsid w:val="00E64CE2"/>
    <w:rsid w:val="00E64DF3"/>
    <w:rsid w:val="00E64E01"/>
    <w:rsid w:val="00E65058"/>
    <w:rsid w:val="00E65487"/>
    <w:rsid w:val="00E654C6"/>
    <w:rsid w:val="00E65768"/>
    <w:rsid w:val="00E65DC5"/>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0C10"/>
    <w:rsid w:val="00E81A34"/>
    <w:rsid w:val="00E81D51"/>
    <w:rsid w:val="00E8207D"/>
    <w:rsid w:val="00E82208"/>
    <w:rsid w:val="00E82649"/>
    <w:rsid w:val="00E82805"/>
    <w:rsid w:val="00E8285E"/>
    <w:rsid w:val="00E830C7"/>
    <w:rsid w:val="00E83750"/>
    <w:rsid w:val="00E83D82"/>
    <w:rsid w:val="00E84113"/>
    <w:rsid w:val="00E84546"/>
    <w:rsid w:val="00E85358"/>
    <w:rsid w:val="00E854A8"/>
    <w:rsid w:val="00E854CC"/>
    <w:rsid w:val="00E85608"/>
    <w:rsid w:val="00E859C6"/>
    <w:rsid w:val="00E85BB3"/>
    <w:rsid w:val="00E86C21"/>
    <w:rsid w:val="00E86E10"/>
    <w:rsid w:val="00E87547"/>
    <w:rsid w:val="00E87DB1"/>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2F87"/>
    <w:rsid w:val="00EA30A2"/>
    <w:rsid w:val="00EA3122"/>
    <w:rsid w:val="00EA327A"/>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10E4"/>
    <w:rsid w:val="00EB24DB"/>
    <w:rsid w:val="00EB26A8"/>
    <w:rsid w:val="00EB2E31"/>
    <w:rsid w:val="00EB33A7"/>
    <w:rsid w:val="00EB35D8"/>
    <w:rsid w:val="00EB35E2"/>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808"/>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06A"/>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74F9"/>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01D"/>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3B8"/>
    <w:rsid w:val="00F2670E"/>
    <w:rsid w:val="00F26BA7"/>
    <w:rsid w:val="00F275DC"/>
    <w:rsid w:val="00F276D5"/>
    <w:rsid w:val="00F27875"/>
    <w:rsid w:val="00F27A08"/>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505E1"/>
    <w:rsid w:val="00F5129E"/>
    <w:rsid w:val="00F51422"/>
    <w:rsid w:val="00F51B63"/>
    <w:rsid w:val="00F51E90"/>
    <w:rsid w:val="00F531AA"/>
    <w:rsid w:val="00F533A1"/>
    <w:rsid w:val="00F53BA7"/>
    <w:rsid w:val="00F549B4"/>
    <w:rsid w:val="00F54EC5"/>
    <w:rsid w:val="00F553A9"/>
    <w:rsid w:val="00F55EFF"/>
    <w:rsid w:val="00F56016"/>
    <w:rsid w:val="00F56714"/>
    <w:rsid w:val="00F567E3"/>
    <w:rsid w:val="00F567F5"/>
    <w:rsid w:val="00F56AFA"/>
    <w:rsid w:val="00F57929"/>
    <w:rsid w:val="00F57992"/>
    <w:rsid w:val="00F57F5C"/>
    <w:rsid w:val="00F6010A"/>
    <w:rsid w:val="00F60144"/>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6A4"/>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287"/>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DB9"/>
    <w:rsid w:val="00FA0F20"/>
    <w:rsid w:val="00FA1050"/>
    <w:rsid w:val="00FA153B"/>
    <w:rsid w:val="00FA1A4C"/>
    <w:rsid w:val="00FA1FE1"/>
    <w:rsid w:val="00FA22A2"/>
    <w:rsid w:val="00FA2B10"/>
    <w:rsid w:val="00FA37D7"/>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B3E"/>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A2E"/>
    <w:rsid w:val="00FC4DD2"/>
    <w:rsid w:val="00FC52AD"/>
    <w:rsid w:val="00FC55B0"/>
    <w:rsid w:val="00FC566A"/>
    <w:rsid w:val="00FC57B6"/>
    <w:rsid w:val="00FC5D97"/>
    <w:rsid w:val="00FC6404"/>
    <w:rsid w:val="00FC692C"/>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87F"/>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941"/>
    <w:rsid w:val="00FE0EF3"/>
    <w:rsid w:val="00FE17F7"/>
    <w:rsid w:val="00FE2112"/>
    <w:rsid w:val="00FE2455"/>
    <w:rsid w:val="00FE2775"/>
    <w:rsid w:val="00FE322B"/>
    <w:rsid w:val="00FE37AE"/>
    <w:rsid w:val="00FE4385"/>
    <w:rsid w:val="00FE43C2"/>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23B1794"/>
    <w:rsid w:val="064908B3"/>
    <w:rsid w:val="067175B5"/>
    <w:rsid w:val="07D26E03"/>
    <w:rsid w:val="0A1C56DC"/>
    <w:rsid w:val="0A98274C"/>
    <w:rsid w:val="0B285455"/>
    <w:rsid w:val="0F490FA2"/>
    <w:rsid w:val="10CD115F"/>
    <w:rsid w:val="122E40F7"/>
    <w:rsid w:val="12CC1CC6"/>
    <w:rsid w:val="13F366BE"/>
    <w:rsid w:val="147A227D"/>
    <w:rsid w:val="14AF0C37"/>
    <w:rsid w:val="15633444"/>
    <w:rsid w:val="16FC5C69"/>
    <w:rsid w:val="19967BF0"/>
    <w:rsid w:val="19CE5937"/>
    <w:rsid w:val="1A054BBC"/>
    <w:rsid w:val="1A974518"/>
    <w:rsid w:val="1A9A08B1"/>
    <w:rsid w:val="1AB40B3E"/>
    <w:rsid w:val="1B6B12F4"/>
    <w:rsid w:val="1BC67426"/>
    <w:rsid w:val="1CF1514F"/>
    <w:rsid w:val="1D6F7320"/>
    <w:rsid w:val="1DB22149"/>
    <w:rsid w:val="21C1128B"/>
    <w:rsid w:val="25171174"/>
    <w:rsid w:val="25871FAC"/>
    <w:rsid w:val="27042AED"/>
    <w:rsid w:val="27BD27E3"/>
    <w:rsid w:val="2918438E"/>
    <w:rsid w:val="293C3677"/>
    <w:rsid w:val="2A745211"/>
    <w:rsid w:val="2B260516"/>
    <w:rsid w:val="2B712B46"/>
    <w:rsid w:val="2D7D5B52"/>
    <w:rsid w:val="2DC86E21"/>
    <w:rsid w:val="2FAB2470"/>
    <w:rsid w:val="314D0FF3"/>
    <w:rsid w:val="327542BD"/>
    <w:rsid w:val="32BA7818"/>
    <w:rsid w:val="342405CD"/>
    <w:rsid w:val="3756054C"/>
    <w:rsid w:val="3CFE6CB8"/>
    <w:rsid w:val="3D5C7BBB"/>
    <w:rsid w:val="42313EE1"/>
    <w:rsid w:val="43503A32"/>
    <w:rsid w:val="439240E9"/>
    <w:rsid w:val="43E500D1"/>
    <w:rsid w:val="43E53DDE"/>
    <w:rsid w:val="44043920"/>
    <w:rsid w:val="445F0D89"/>
    <w:rsid w:val="455F4B48"/>
    <w:rsid w:val="47A641CF"/>
    <w:rsid w:val="484808A4"/>
    <w:rsid w:val="48F646F4"/>
    <w:rsid w:val="49886BD5"/>
    <w:rsid w:val="4C1B3FFE"/>
    <w:rsid w:val="4C2C0012"/>
    <w:rsid w:val="4CA7138C"/>
    <w:rsid w:val="4CE91ACF"/>
    <w:rsid w:val="4E743C4F"/>
    <w:rsid w:val="50C07050"/>
    <w:rsid w:val="50FA652F"/>
    <w:rsid w:val="5200412A"/>
    <w:rsid w:val="53EA46B1"/>
    <w:rsid w:val="54DA4DB5"/>
    <w:rsid w:val="54EA11CC"/>
    <w:rsid w:val="54F97888"/>
    <w:rsid w:val="56825957"/>
    <w:rsid w:val="568F6B9D"/>
    <w:rsid w:val="585C582B"/>
    <w:rsid w:val="5991769D"/>
    <w:rsid w:val="5A53333F"/>
    <w:rsid w:val="5ACC6290"/>
    <w:rsid w:val="5C3B5B36"/>
    <w:rsid w:val="5C7100A9"/>
    <w:rsid w:val="5E955CAE"/>
    <w:rsid w:val="5F6D60BB"/>
    <w:rsid w:val="61294965"/>
    <w:rsid w:val="62AD511A"/>
    <w:rsid w:val="642D103F"/>
    <w:rsid w:val="64EB7873"/>
    <w:rsid w:val="65AC69E5"/>
    <w:rsid w:val="65AE50E3"/>
    <w:rsid w:val="662D4818"/>
    <w:rsid w:val="668A66E7"/>
    <w:rsid w:val="670A6572"/>
    <w:rsid w:val="68394942"/>
    <w:rsid w:val="68DB7A9A"/>
    <w:rsid w:val="68E056B2"/>
    <w:rsid w:val="69F7752A"/>
    <w:rsid w:val="69FC7CF7"/>
    <w:rsid w:val="6B131038"/>
    <w:rsid w:val="6B3D5AF2"/>
    <w:rsid w:val="6C017A25"/>
    <w:rsid w:val="6C8C6FBE"/>
    <w:rsid w:val="6D017DB9"/>
    <w:rsid w:val="6EFC7766"/>
    <w:rsid w:val="719826B5"/>
    <w:rsid w:val="72A7775E"/>
    <w:rsid w:val="7322392E"/>
    <w:rsid w:val="73376795"/>
    <w:rsid w:val="734316AE"/>
    <w:rsid w:val="74611512"/>
    <w:rsid w:val="76D318BB"/>
    <w:rsid w:val="77231C5D"/>
    <w:rsid w:val="7A5175D2"/>
    <w:rsid w:val="7B862537"/>
    <w:rsid w:val="7BE47829"/>
    <w:rsid w:val="7D445B9B"/>
    <w:rsid w:val="7DCB0C53"/>
    <w:rsid w:val="7E531A41"/>
    <w:rsid w:val="7E735659"/>
    <w:rsid w:val="7F5F2633"/>
    <w:rsid w:val="7FF138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5"/>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6"/>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7"/>
    <w:qFormat/>
    <w:uiPriority w:val="0"/>
    <w:pPr>
      <w:tabs>
        <w:tab w:val="left" w:pos="720"/>
        <w:tab w:val="clear" w:pos="576"/>
      </w:tabs>
      <w:spacing w:before="120"/>
      <w:ind w:left="720" w:hanging="720"/>
      <w:outlineLvl w:val="2"/>
    </w:pPr>
    <w:rPr>
      <w:sz w:val="28"/>
    </w:rPr>
  </w:style>
  <w:style w:type="paragraph" w:styleId="5">
    <w:name w:val="heading 4"/>
    <w:basedOn w:val="4"/>
    <w:next w:val="1"/>
    <w:link w:val="38"/>
    <w:qFormat/>
    <w:uiPriority w:val="0"/>
    <w:pPr>
      <w:tabs>
        <w:tab w:val="left" w:pos="864"/>
        <w:tab w:val="clear" w:pos="720"/>
      </w:tabs>
      <w:ind w:left="864" w:hanging="864"/>
      <w:outlineLvl w:val="3"/>
    </w:pPr>
    <w:rPr>
      <w:sz w:val="20"/>
    </w:rPr>
  </w:style>
  <w:style w:type="paragraph" w:styleId="6">
    <w:name w:val="heading 5"/>
    <w:basedOn w:val="5"/>
    <w:next w:val="1"/>
    <w:link w:val="39"/>
    <w:qFormat/>
    <w:uiPriority w:val="0"/>
    <w:pPr>
      <w:tabs>
        <w:tab w:val="left" w:pos="1152"/>
        <w:tab w:val="clear" w:pos="864"/>
      </w:tabs>
      <w:ind w:left="1152" w:hanging="1152"/>
      <w:outlineLvl w:val="4"/>
    </w:pPr>
    <w:rPr>
      <w:sz w:val="22"/>
    </w:rPr>
  </w:style>
  <w:style w:type="paragraph" w:styleId="7">
    <w:name w:val="heading 7"/>
    <w:basedOn w:val="1"/>
    <w:next w:val="1"/>
    <w:link w:val="40"/>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1"/>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2"/>
    <w:qFormat/>
    <w:uiPriority w:val="0"/>
    <w:pPr>
      <w:tabs>
        <w:tab w:val="left" w:pos="1584"/>
        <w:tab w:val="clear" w:pos="1440"/>
      </w:tabs>
      <w:ind w:left="1584" w:hanging="1584"/>
      <w:outlineLvl w:val="8"/>
    </w:p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5"/>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6"/>
    <w:semiHidden/>
    <w:unhideWhenUsed/>
    <w:qFormat/>
    <w:uiPriority w:val="99"/>
    <w:rPr>
      <w:rFonts w:ascii="Cambria Math" w:hAnsi="Cambria Math" w:eastAsia="Cambria Math"/>
      <w:sz w:val="20"/>
      <w:szCs w:val="20"/>
    </w:rPr>
  </w:style>
  <w:style w:type="paragraph" w:styleId="12">
    <w:name w:val="annotation text"/>
    <w:basedOn w:val="1"/>
    <w:link w:val="48"/>
    <w:unhideWhenUsed/>
    <w:qFormat/>
    <w:uiPriority w:val="0"/>
  </w:style>
  <w:style w:type="paragraph" w:styleId="13">
    <w:name w:val="Balloon Text"/>
    <w:basedOn w:val="1"/>
    <w:link w:val="46"/>
    <w:semiHidden/>
    <w:unhideWhenUsed/>
    <w:qFormat/>
    <w:uiPriority w:val="99"/>
    <w:rPr>
      <w:rFonts w:ascii="Cambria Math" w:hAnsi="Cambria Math" w:eastAsia="Cambria Math"/>
      <w:sz w:val="18"/>
      <w:szCs w:val="18"/>
    </w:rPr>
  </w:style>
  <w:style w:type="paragraph" w:styleId="14">
    <w:name w:val="footer"/>
    <w:basedOn w:val="1"/>
    <w:link w:val="47"/>
    <w:unhideWhenUsed/>
    <w:qFormat/>
    <w:uiPriority w:val="99"/>
    <w:pPr>
      <w:tabs>
        <w:tab w:val="center" w:pos="4153"/>
        <w:tab w:val="right" w:pos="8306"/>
      </w:tabs>
      <w:snapToGrid w:val="0"/>
    </w:pPr>
    <w:rPr>
      <w:rFonts w:ascii="Cambria Math" w:hAnsi="Cambria Math"/>
      <w:sz w:val="18"/>
      <w:szCs w:val="18"/>
    </w:rPr>
  </w:style>
  <w:style w:type="paragraph" w:styleId="15">
    <w:name w:val="header"/>
    <w:basedOn w:val="1"/>
    <w:link w:val="24"/>
    <w:qFormat/>
    <w:uiPriority w:val="99"/>
    <w:pPr>
      <w:tabs>
        <w:tab w:val="center" w:pos="4153"/>
        <w:tab w:val="right" w:pos="8306"/>
      </w:tabs>
    </w:pPr>
    <w:rPr>
      <w:rFonts w:eastAsia="Courier New"/>
      <w:sz w:val="20"/>
      <w:szCs w:val="20"/>
      <w:lang w:eastAsia="en-US"/>
    </w:rPr>
  </w:style>
  <w:style w:type="paragraph" w:styleId="16">
    <w:name w:val="List"/>
    <w:basedOn w:val="1"/>
    <w:semiHidden/>
    <w:unhideWhenUsed/>
    <w:qFormat/>
    <w:uiPriority w:val="99"/>
    <w:pPr>
      <w:ind w:left="200" w:hanging="200" w:hangingChars="200"/>
      <w:contextualSpacing/>
    </w:pPr>
  </w:style>
  <w:style w:type="paragraph" w:styleId="17">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8">
    <w:name w:val="annotation subject"/>
    <w:basedOn w:val="12"/>
    <w:next w:val="12"/>
    <w:link w:val="49"/>
    <w:semiHidden/>
    <w:unhideWhenUsed/>
    <w:qFormat/>
    <w:uiPriority w:val="99"/>
    <w:rPr>
      <w:rFonts w:ascii="Cambria Math" w:hAnsi="Cambria Math"/>
      <w:b/>
      <w:bCs/>
      <w:sz w:val="20"/>
      <w:szCs w:val="20"/>
    </w:rPr>
  </w:style>
  <w:style w:type="table" w:styleId="20">
    <w:name w:val="Table Grid"/>
    <w:basedOn w:val="19"/>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0"/>
    <w:rPr>
      <w:rFonts w:cs="Times New Roman"/>
      <w:color w:val="0000FF"/>
      <w:u w:val="single"/>
    </w:rPr>
  </w:style>
  <w:style w:type="character" w:styleId="23">
    <w:name w:val="annotation reference"/>
    <w:semiHidden/>
    <w:unhideWhenUsed/>
    <w:qFormat/>
    <w:uiPriority w:val="99"/>
    <w:rPr>
      <w:sz w:val="21"/>
      <w:szCs w:val="21"/>
    </w:rPr>
  </w:style>
  <w:style w:type="character" w:customStyle="1" w:styleId="24">
    <w:name w:val="页眉 字符"/>
    <w:link w:val="15"/>
    <w:qFormat/>
    <w:uiPriority w:val="99"/>
    <w:rPr>
      <w:rFonts w:ascii="Times New Roman" w:hAnsi="Times New Roman" w:eastAsia="Courier New" w:cs="Times New Roman"/>
      <w:kern w:val="0"/>
      <w:sz w:val="20"/>
      <w:szCs w:val="20"/>
      <w:lang w:eastAsia="en-US"/>
    </w:rPr>
  </w:style>
  <w:style w:type="character" w:customStyle="1" w:styleId="25">
    <w:name w:val="标题 1 字符"/>
    <w:link w:val="2"/>
    <w:qFormat/>
    <w:uiPriority w:val="0"/>
    <w:rPr>
      <w:rFonts w:ascii="Arial" w:hAnsi="Arial"/>
      <w:b/>
      <w:bCs/>
      <w:kern w:val="44"/>
      <w:sz w:val="44"/>
      <w:szCs w:val="44"/>
    </w:rPr>
  </w:style>
  <w:style w:type="character" w:customStyle="1" w:styleId="26">
    <w:name w:val="文档结构图 字符"/>
    <w:link w:val="11"/>
    <w:semiHidden/>
    <w:qFormat/>
    <w:uiPriority w:val="99"/>
    <w:rPr>
      <w:rFonts w:ascii="Cambria Math" w:eastAsia="Cambria Math"/>
    </w:rPr>
  </w:style>
  <w:style w:type="paragraph" w:customStyle="1" w:styleId="27">
    <w:name w:val="TAC"/>
    <w:basedOn w:val="28"/>
    <w:link w:val="29"/>
    <w:qFormat/>
    <w:uiPriority w:val="0"/>
    <w:pPr>
      <w:overflowPunct w:val="0"/>
      <w:autoSpaceDE w:val="0"/>
      <w:autoSpaceDN w:val="0"/>
      <w:adjustRightInd w:val="0"/>
      <w:jc w:val="center"/>
      <w:textAlignment w:val="baseline"/>
    </w:pPr>
    <w:rPr>
      <w:szCs w:val="18"/>
    </w:rPr>
  </w:style>
  <w:style w:type="paragraph" w:customStyle="1" w:styleId="28">
    <w:name w:val="TAL"/>
    <w:basedOn w:val="1"/>
    <w:link w:val="57"/>
    <w:qFormat/>
    <w:uiPriority w:val="0"/>
    <w:pPr>
      <w:keepNext/>
      <w:keepLines/>
    </w:pPr>
    <w:rPr>
      <w:rFonts w:ascii="Courier New" w:hAnsi="Courier New"/>
      <w:sz w:val="18"/>
      <w:szCs w:val="20"/>
      <w:lang w:val="en-GB" w:eastAsia="en-US"/>
    </w:rPr>
  </w:style>
  <w:style w:type="character" w:customStyle="1" w:styleId="29">
    <w:name w:val="TAC Char"/>
    <w:link w:val="27"/>
    <w:qFormat/>
    <w:uiPriority w:val="0"/>
    <w:rPr>
      <w:rFonts w:ascii="Courier New" w:hAnsi="Courier New" w:eastAsia="Yu Mincho Light" w:cs="Times New Roman"/>
      <w:kern w:val="0"/>
      <w:sz w:val="18"/>
      <w:szCs w:val="18"/>
      <w:lang w:val="en-GB"/>
    </w:rPr>
  </w:style>
  <w:style w:type="paragraph" w:customStyle="1" w:styleId="30">
    <w:name w:val="TH"/>
    <w:basedOn w:val="1"/>
    <w:link w:val="31"/>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1">
    <w:name w:val="TH Char"/>
    <w:link w:val="30"/>
    <w:qFormat/>
    <w:uiPriority w:val="0"/>
    <w:rPr>
      <w:rFonts w:ascii="Courier New" w:hAnsi="Courier New" w:eastAsia="Yu Mincho Light" w:cs="Times New Roman"/>
      <w:b/>
      <w:bCs/>
      <w:kern w:val="0"/>
      <w:sz w:val="20"/>
      <w:szCs w:val="20"/>
      <w:lang w:val="en-GB"/>
    </w:rPr>
  </w:style>
  <w:style w:type="paragraph" w:customStyle="1" w:styleId="32">
    <w:name w:val="TAH"/>
    <w:basedOn w:val="27"/>
    <w:link w:val="33"/>
    <w:qFormat/>
    <w:uiPriority w:val="0"/>
    <w:rPr>
      <w:b/>
      <w:bCs/>
    </w:rPr>
  </w:style>
  <w:style w:type="character" w:customStyle="1" w:styleId="33">
    <w:name w:val="TAH Car"/>
    <w:link w:val="32"/>
    <w:qFormat/>
    <w:uiPriority w:val="0"/>
    <w:rPr>
      <w:rFonts w:ascii="Courier New" w:hAnsi="Courier New" w:eastAsia="Yu Mincho Light" w:cs="Times New Roman"/>
      <w:b/>
      <w:bCs/>
      <w:kern w:val="0"/>
      <w:sz w:val="18"/>
      <w:szCs w:val="18"/>
      <w:lang w:val="en-GB"/>
    </w:rPr>
  </w:style>
  <w:style w:type="paragraph" w:customStyle="1" w:styleId="34">
    <w:name w:val="TAN"/>
    <w:basedOn w:val="1"/>
    <w:link w:val="35"/>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5">
    <w:name w:val="TAN Char"/>
    <w:link w:val="34"/>
    <w:qFormat/>
    <w:uiPriority w:val="0"/>
    <w:rPr>
      <w:rFonts w:ascii="Courier New" w:hAnsi="Courier New" w:eastAsia="Yu Mincho Light" w:cs="Times New Roman"/>
      <w:kern w:val="0"/>
      <w:sz w:val="18"/>
      <w:szCs w:val="18"/>
      <w:lang w:val="en-GB"/>
    </w:rPr>
  </w:style>
  <w:style w:type="character" w:customStyle="1" w:styleId="36">
    <w:name w:val="标题 2 字符"/>
    <w:link w:val="3"/>
    <w:qFormat/>
    <w:uiPriority w:val="0"/>
    <w:rPr>
      <w:rFonts w:ascii="Courier New" w:hAnsi="Courier New" w:eastAsia="Courier New" w:cs="Times New Roman"/>
      <w:kern w:val="0"/>
      <w:sz w:val="32"/>
      <w:szCs w:val="20"/>
      <w:lang w:val="en-GB" w:eastAsia="en-US"/>
    </w:rPr>
  </w:style>
  <w:style w:type="character" w:customStyle="1" w:styleId="37">
    <w:name w:val="标题 3 字符"/>
    <w:link w:val="4"/>
    <w:qFormat/>
    <w:uiPriority w:val="0"/>
    <w:rPr>
      <w:rFonts w:ascii="Courier New" w:hAnsi="Courier New" w:eastAsia="Courier New" w:cs="Times New Roman"/>
      <w:kern w:val="0"/>
      <w:sz w:val="28"/>
      <w:szCs w:val="20"/>
      <w:lang w:val="en-GB" w:eastAsia="en-US"/>
    </w:rPr>
  </w:style>
  <w:style w:type="character" w:customStyle="1" w:styleId="38">
    <w:name w:val="标题 4 字符"/>
    <w:link w:val="5"/>
    <w:qFormat/>
    <w:uiPriority w:val="0"/>
    <w:rPr>
      <w:rFonts w:ascii="Courier New" w:hAnsi="Courier New" w:eastAsia="Courier New" w:cs="Times New Roman"/>
      <w:kern w:val="0"/>
      <w:szCs w:val="20"/>
      <w:lang w:val="en-GB" w:eastAsia="en-US"/>
    </w:rPr>
  </w:style>
  <w:style w:type="character" w:customStyle="1" w:styleId="39">
    <w:name w:val="标题 5 字符"/>
    <w:link w:val="6"/>
    <w:qFormat/>
    <w:uiPriority w:val="0"/>
    <w:rPr>
      <w:rFonts w:ascii="Courier New" w:hAnsi="Courier New" w:eastAsia="Courier New" w:cs="Times New Roman"/>
      <w:kern w:val="0"/>
      <w:sz w:val="22"/>
      <w:szCs w:val="20"/>
      <w:lang w:val="en-GB" w:eastAsia="en-US"/>
    </w:rPr>
  </w:style>
  <w:style w:type="character" w:customStyle="1" w:styleId="40">
    <w:name w:val="标题 7 字符"/>
    <w:link w:val="7"/>
    <w:qFormat/>
    <w:uiPriority w:val="0"/>
    <w:rPr>
      <w:rFonts w:ascii="Courier New" w:hAnsi="Courier New" w:eastAsia="Courier New" w:cs="Times New Roman"/>
      <w:kern w:val="0"/>
      <w:sz w:val="20"/>
      <w:szCs w:val="20"/>
      <w:lang w:val="en-GB" w:eastAsia="en-US"/>
    </w:rPr>
  </w:style>
  <w:style w:type="character" w:customStyle="1" w:styleId="41">
    <w:name w:val="标题 8 字符"/>
    <w:link w:val="8"/>
    <w:qFormat/>
    <w:uiPriority w:val="0"/>
    <w:rPr>
      <w:rFonts w:ascii="Courier New" w:hAnsi="Courier New" w:eastAsia="Courier New" w:cs="Times New Roman"/>
      <w:kern w:val="0"/>
      <w:sz w:val="36"/>
      <w:szCs w:val="20"/>
      <w:lang w:val="en-GB" w:eastAsia="en-US"/>
    </w:rPr>
  </w:style>
  <w:style w:type="character" w:customStyle="1" w:styleId="42">
    <w:name w:val="标题 9 字符"/>
    <w:link w:val="9"/>
    <w:qFormat/>
    <w:uiPriority w:val="0"/>
    <w:rPr>
      <w:rFonts w:ascii="Courier New" w:hAnsi="Courier New" w:eastAsia="Courier New" w:cs="Times New Roman"/>
      <w:kern w:val="0"/>
      <w:sz w:val="36"/>
      <w:szCs w:val="20"/>
      <w:lang w:val="en-GB" w:eastAsia="en-US"/>
    </w:rPr>
  </w:style>
  <w:style w:type="paragraph" w:customStyle="1" w:styleId="43">
    <w:name w:val="彩色列表 - 强调文字颜色 11"/>
    <w:basedOn w:val="1"/>
    <w:qFormat/>
    <w:uiPriority w:val="34"/>
    <w:pPr>
      <w:ind w:firstLine="420" w:firstLineChars="200"/>
    </w:pPr>
    <w:rPr>
      <w:rFonts w:ascii="Yu Mincho Light" w:hAnsi="Yu Mincho Light"/>
      <w:sz w:val="20"/>
      <w:szCs w:val="20"/>
    </w:rPr>
  </w:style>
  <w:style w:type="paragraph" w:customStyle="1" w:styleId="44">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5">
    <w:name w:val="题注 字符"/>
    <w:link w:val="10"/>
    <w:qFormat/>
    <w:uiPriority w:val="0"/>
    <w:rPr>
      <w:rFonts w:ascii="Courier New" w:hAnsi="Courier New"/>
      <w:b/>
      <w:kern w:val="20"/>
      <w:sz w:val="16"/>
      <w:lang w:eastAsia="en-US" w:bidi="ar-SA"/>
    </w:rPr>
  </w:style>
  <w:style w:type="character" w:customStyle="1" w:styleId="46">
    <w:name w:val="批注框文本 字符"/>
    <w:link w:val="13"/>
    <w:semiHidden/>
    <w:qFormat/>
    <w:uiPriority w:val="99"/>
    <w:rPr>
      <w:rFonts w:ascii="Cambria Math" w:eastAsia="Cambria Math"/>
      <w:sz w:val="18"/>
      <w:szCs w:val="18"/>
    </w:rPr>
  </w:style>
  <w:style w:type="character" w:customStyle="1" w:styleId="47">
    <w:name w:val="页脚 字符"/>
    <w:link w:val="14"/>
    <w:qFormat/>
    <w:uiPriority w:val="99"/>
    <w:rPr>
      <w:sz w:val="18"/>
      <w:szCs w:val="18"/>
    </w:rPr>
  </w:style>
  <w:style w:type="character" w:customStyle="1" w:styleId="48">
    <w:name w:val="批注文字 字符"/>
    <w:basedOn w:val="21"/>
    <w:link w:val="12"/>
    <w:qFormat/>
    <w:uiPriority w:val="0"/>
  </w:style>
  <w:style w:type="character" w:customStyle="1" w:styleId="49">
    <w:name w:val="批注主题 字符"/>
    <w:link w:val="18"/>
    <w:semiHidden/>
    <w:qFormat/>
    <w:uiPriority w:val="99"/>
    <w:rPr>
      <w:b/>
      <w:bCs/>
    </w:rPr>
  </w:style>
  <w:style w:type="paragraph" w:customStyle="1" w:styleId="50">
    <w:name w:val="B1"/>
    <w:basedOn w:val="16"/>
    <w:link w:val="51"/>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1">
    <w:name w:val="B1 Char1"/>
    <w:link w:val="50"/>
    <w:qFormat/>
    <w:uiPriority w:val="0"/>
    <w:rPr>
      <w:rFonts w:ascii="Times New Roman" w:hAnsi="Times New Roman" w:eastAsia="Times New Roman" w:cs="Times New Roman"/>
      <w:kern w:val="0"/>
      <w:sz w:val="20"/>
      <w:szCs w:val="20"/>
      <w:lang w:val="en-GB" w:eastAsia="en-US"/>
    </w:rPr>
  </w:style>
  <w:style w:type="character" w:customStyle="1" w:styleId="52">
    <w:name w:val="B1 Char"/>
    <w:qFormat/>
    <w:locked/>
    <w:uiPriority w:val="0"/>
    <w:rPr>
      <w:lang w:val="en-GB"/>
    </w:rPr>
  </w:style>
  <w:style w:type="paragraph" w:customStyle="1" w:styleId="53">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4">
    <w:name w:val="首标题"/>
    <w:qFormat/>
    <w:uiPriority w:val="0"/>
    <w:rPr>
      <w:rFonts w:ascii="Courier New" w:hAnsi="Courier New" w:eastAsia="Yu Mincho Light"/>
      <w:sz w:val="24"/>
      <w:lang w:val="en-US" w:eastAsia="zh-CN" w:bidi="ar-SA"/>
    </w:rPr>
  </w:style>
  <w:style w:type="paragraph" w:customStyle="1" w:styleId="55">
    <w:name w:val="插图题注"/>
    <w:basedOn w:val="1"/>
    <w:qFormat/>
    <w:uiPriority w:val="0"/>
    <w:pPr>
      <w:spacing w:after="180"/>
    </w:pPr>
    <w:rPr>
      <w:sz w:val="20"/>
      <w:szCs w:val="20"/>
      <w:lang w:val="en-GB" w:eastAsia="en-US"/>
    </w:rPr>
  </w:style>
  <w:style w:type="paragraph" w:customStyle="1" w:styleId="56">
    <w:name w:val="表格题注"/>
    <w:basedOn w:val="1"/>
    <w:qFormat/>
    <w:uiPriority w:val="0"/>
    <w:pPr>
      <w:spacing w:after="180"/>
    </w:pPr>
    <w:rPr>
      <w:sz w:val="20"/>
      <w:szCs w:val="20"/>
      <w:lang w:val="en-GB" w:eastAsia="en-US"/>
    </w:rPr>
  </w:style>
  <w:style w:type="character" w:customStyle="1" w:styleId="57">
    <w:name w:val="TAL Car"/>
    <w:link w:val="28"/>
    <w:qFormat/>
    <w:uiPriority w:val="0"/>
    <w:rPr>
      <w:rFonts w:ascii="Courier New" w:hAnsi="Courier New"/>
      <w:sz w:val="18"/>
      <w:lang w:val="en-GB" w:eastAsia="en-US"/>
    </w:rPr>
  </w:style>
  <w:style w:type="paragraph" w:customStyle="1" w:styleId="58">
    <w:name w:val="中等深浅网格 1 - 着色 21"/>
    <w:basedOn w:val="1"/>
    <w:link w:val="59"/>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59">
    <w:name w:val="中等深浅网格 1 - 着色 2 字符"/>
    <w:link w:val="58"/>
    <w:qFormat/>
    <w:locked/>
    <w:uiPriority w:val="34"/>
    <w:rPr>
      <w:rFonts w:ascii="Times New Roman" w:hAnsi="Times New Roman" w:eastAsia="Yu Mincho Light"/>
      <w:lang w:val="en-GB" w:eastAsia="ja-JP"/>
    </w:rPr>
  </w:style>
  <w:style w:type="character" w:customStyle="1" w:styleId="60">
    <w:name w:val="TAL Char"/>
    <w:qFormat/>
    <w:uiPriority w:val="0"/>
    <w:rPr>
      <w:rFonts w:ascii="Courier New" w:hAnsi="Courier New" w:eastAsia="Yu Mincho Light"/>
      <w:sz w:val="18"/>
      <w:lang w:val="en-GB" w:eastAsia="zh-CN"/>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2">
    <w:name w:val="Doc-title"/>
    <w:basedOn w:val="1"/>
    <w:next w:val="63"/>
    <w:link w:val="65"/>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3">
    <w:name w:val="Doc-text2"/>
    <w:basedOn w:val="1"/>
    <w:link w:val="64"/>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4">
    <w:name w:val="Doc-text2 Char"/>
    <w:link w:val="63"/>
    <w:qFormat/>
    <w:uiPriority w:val="0"/>
    <w:rPr>
      <w:rFonts w:ascii="Courier New" w:hAnsi="Courier New" w:eastAsia="Courier New"/>
      <w:szCs w:val="24"/>
      <w:lang w:eastAsia="en-GB"/>
    </w:rPr>
  </w:style>
  <w:style w:type="character" w:customStyle="1" w:styleId="65">
    <w:name w:val="Doc-title Char"/>
    <w:link w:val="62"/>
    <w:qFormat/>
    <w:uiPriority w:val="0"/>
    <w:rPr>
      <w:rFonts w:ascii="Courier New" w:hAnsi="Courier New" w:eastAsia="Courier New"/>
      <w:szCs w:val="24"/>
      <w:lang w:eastAsia="en-GB"/>
    </w:rPr>
  </w:style>
  <w:style w:type="paragraph" w:customStyle="1" w:styleId="66">
    <w:name w:val="EmailDiscussion2"/>
    <w:basedOn w:val="63"/>
    <w:qFormat/>
    <w:uiPriority w:val="0"/>
  </w:style>
  <w:style w:type="paragraph" w:customStyle="1" w:styleId="67">
    <w:name w:val="H6"/>
    <w:basedOn w:val="6"/>
    <w:next w:val="1"/>
    <w:link w:val="68"/>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68">
    <w:name w:val="H6 Char"/>
    <w:link w:val="67"/>
    <w:qFormat/>
    <w:uiPriority w:val="0"/>
    <w:rPr>
      <w:rFonts w:ascii="Courier New" w:hAnsi="Courier New" w:eastAsia="Yu Mincho Light"/>
      <w:lang w:val="en-GB" w:eastAsia="en-US"/>
    </w:rPr>
  </w:style>
  <w:style w:type="paragraph" w:customStyle="1" w:styleId="69">
    <w:name w:val="NO"/>
    <w:basedOn w:val="1"/>
    <w:link w:val="70"/>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0">
    <w:name w:val="NO Char1"/>
    <w:link w:val="69"/>
    <w:qFormat/>
    <w:uiPriority w:val="0"/>
    <w:rPr>
      <w:rFonts w:ascii="Times New Roman" w:hAnsi="Times New Roman" w:eastAsia="Times New Roman"/>
      <w:lang w:val="en-GB"/>
    </w:rPr>
  </w:style>
  <w:style w:type="character" w:customStyle="1" w:styleId="71">
    <w:name w:val="页眉 Char"/>
    <w:qFormat/>
    <w:uiPriority w:val="0"/>
    <w:rPr>
      <w:rFonts w:ascii="Courier New" w:hAnsi="Courier New"/>
      <w:b/>
      <w:sz w:val="18"/>
      <w:lang w:eastAsia="en-US"/>
    </w:rPr>
  </w:style>
  <w:style w:type="paragraph" w:customStyle="1" w:styleId="72">
    <w:name w:val="CR Cover Page"/>
    <w:link w:val="73"/>
    <w:qFormat/>
    <w:uiPriority w:val="0"/>
    <w:pPr>
      <w:spacing w:after="120"/>
    </w:pPr>
    <w:rPr>
      <w:rFonts w:ascii="Arial" w:hAnsi="Arial" w:eastAsia="Courier New" w:cs="Cambria Math"/>
      <w:lang w:val="en-GB" w:eastAsia="en-US" w:bidi="ar-SA"/>
    </w:rPr>
  </w:style>
  <w:style w:type="character" w:customStyle="1" w:styleId="73">
    <w:name w:val="CR Cover Page Char"/>
    <w:link w:val="72"/>
    <w:qFormat/>
    <w:uiPriority w:val="0"/>
    <w:rPr>
      <w:rFonts w:ascii="Arial" w:hAnsi="Arial" w:eastAsia="Courier New" w:cs="Cambria Math"/>
      <w:lang w:val="en-GB" w:eastAsia="en-US" w:bidi="ar-SA"/>
    </w:rPr>
  </w:style>
  <w:style w:type="paragraph" w:styleId="74">
    <w:name w:val="List Paragraph"/>
    <w:basedOn w:val="1"/>
    <w:link w:val="75"/>
    <w:qFormat/>
    <w:uiPriority w:val="34"/>
    <w:pPr>
      <w:ind w:firstLine="420" w:firstLineChars="200"/>
    </w:pPr>
    <w:rPr>
      <w:rFonts w:eastAsia="Times New Roman" w:cs="宋体"/>
    </w:rPr>
  </w:style>
  <w:style w:type="character" w:customStyle="1" w:styleId="75">
    <w:name w:val="列表段落 字符"/>
    <w:link w:val="74"/>
    <w:qFormat/>
    <w:locked/>
    <w:uiPriority w:val="34"/>
    <w:rPr>
      <w:rFonts w:ascii="Times New Roman" w:hAnsi="Times New Roman" w:eastAsia="Times New Roman" w:cs="宋体"/>
      <w:sz w:val="24"/>
      <w:szCs w:val="24"/>
    </w:rPr>
  </w:style>
  <w:style w:type="paragraph" w:customStyle="1" w:styleId="76">
    <w:name w:val="修订1"/>
    <w:hidden/>
    <w:qFormat/>
    <w:uiPriority w:val="62"/>
    <w:rPr>
      <w:rFonts w:ascii="Times New Roman" w:hAnsi="Times New Roman" w:cs="Times New Roman" w:eastAsiaTheme="minorEastAsia"/>
      <w:sz w:val="24"/>
      <w:szCs w:val="24"/>
      <w:lang w:val="en-US" w:eastAsia="zh-CN" w:bidi="ar-SA"/>
    </w:rPr>
  </w:style>
  <w:style w:type="paragraph" w:customStyle="1" w:styleId="77">
    <w:name w:val="正文1"/>
    <w:qFormat/>
    <w:uiPriority w:val="0"/>
    <w:pPr>
      <w:jc w:val="both"/>
    </w:pPr>
    <w:rPr>
      <w:rFonts w:ascii="Times New Roman" w:hAnsi="Times New Roman" w:eastAsia="宋体" w:cs="Times New Roman"/>
      <w:kern w:val="2"/>
      <w:sz w:val="21"/>
      <w:szCs w:val="21"/>
      <w:lang w:val="en-US" w:eastAsia="zh-CN" w:bidi="ar-SA"/>
    </w:rPr>
  </w:style>
  <w:style w:type="character" w:styleId="78">
    <w:name w:val="Placeholder Text"/>
    <w:basedOn w:val="21"/>
    <w:unhideWhenUsed/>
    <w:qFormat/>
    <w:uiPriority w:val="99"/>
    <w:rPr>
      <w:color w:val="808080"/>
    </w:rPr>
  </w:style>
  <w:style w:type="paragraph" w:customStyle="1" w:styleId="79">
    <w:name w:val="PL"/>
    <w:link w:val="80"/>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0">
    <w:name w:val="PL Char"/>
    <w:link w:val="79"/>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1</Pages>
  <Words>1991</Words>
  <Characters>11351</Characters>
  <Lines>94</Lines>
  <Paragraphs>26</Paragraphs>
  <TotalTime>15</TotalTime>
  <ScaleCrop>false</ScaleCrop>
  <LinksUpToDate>false</LinksUpToDate>
  <CharactersWithSpaces>13316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2023-11-03T02:12:35Z</dcterms:modified>
  <cp:revision>175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44F6D3E90F7D4B57837164FDC2BBA683</vt:lpwstr>
  </property>
</Properties>
</file>